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19E" w:rsidP="00C6619E" w:rsidRDefault="00C6619E" w14:paraId="086D528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C6619E" w:rsidP="00C6619E" w:rsidRDefault="00C6619E" w14:paraId="65038FAE"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szCs w:val="24"/>
          <w:lang w:val="es-ES"/>
        </w:rPr>
      </w:pPr>
      <w:r>
        <w:rPr>
          <w:rFonts w:ascii="Times New Roman" w:hAnsi="Times New Roman"/>
          <w:b/>
          <w:caps/>
          <w:lang w:val="es-ES"/>
        </w:rPr>
        <w:t xml:space="preserve">IILI 2021 - XLIII Congreso Internacional </w:t>
      </w:r>
    </w:p>
    <w:p w:rsidR="00C6619E" w:rsidP="00C6619E" w:rsidRDefault="00C6619E" w14:paraId="54ABFE78"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C6619E" w:rsidP="00C6619E" w:rsidRDefault="00C6619E" w14:paraId="654E2FE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C6619E" w:rsidP="00C6619E" w:rsidRDefault="00C6619E" w14:paraId="038FFFB2"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C6619E" w:rsidP="00C6619E" w:rsidRDefault="00C6619E" w14:paraId="4650F62D" w14:textId="77777777">
      <w:pPr>
        <w:widowControl w:val="0"/>
        <w:autoSpaceDE w:val="0"/>
        <w:autoSpaceDN w:val="0"/>
        <w:adjustRightInd w:val="0"/>
        <w:ind w:right="-180"/>
        <w:jc w:val="both"/>
        <w:rPr>
          <w:rFonts w:ascii="Times New Roman" w:hAnsi="Times New Roman"/>
          <w:b/>
          <w:bCs/>
          <w:i/>
          <w:iCs/>
          <w:color w:val="FF6600"/>
          <w:szCs w:val="24"/>
          <w:lang w:val="pt-BR"/>
        </w:rPr>
      </w:pPr>
    </w:p>
    <w:p w:rsidR="00C6619E" w:rsidP="438DBEDC" w:rsidRDefault="00C6619E" w14:paraId="2B010420" w14:textId="5E0FEB54">
      <w:pPr>
        <w:widowControl w:val="0"/>
        <w:autoSpaceDE w:val="0"/>
        <w:autoSpaceDN w:val="0"/>
        <w:adjustRightInd w:val="0"/>
        <w:ind w:right="-180"/>
        <w:jc w:val="both"/>
        <w:rPr>
          <w:rFonts w:ascii="Times New Roman" w:hAnsi="Times New Roman"/>
          <w:b w:val="1"/>
          <w:bCs w:val="1"/>
          <w:i w:val="1"/>
          <w:iCs w:val="1"/>
          <w:lang w:val="es-ES"/>
        </w:rPr>
      </w:pPr>
      <w:r w:rsidRPr="438DBEDC" w:rsidR="00C6619E">
        <w:rPr>
          <w:rFonts w:ascii="Times New Roman" w:hAnsi="Times New Roman"/>
          <w:b w:val="1"/>
          <w:bCs w:val="1"/>
          <w:lang w:val="pt-BR"/>
        </w:rPr>
        <w:t>MESA REDONDA</w:t>
      </w:r>
      <w:r w:rsidRPr="438DBEDC" w:rsidR="2A6202FF">
        <w:rPr>
          <w:rFonts w:ascii="Times New Roman" w:hAnsi="Times New Roman"/>
          <w:b w:val="1"/>
          <w:bCs w:val="1"/>
          <w:lang w:val="pt-BR"/>
        </w:rPr>
        <w:t xml:space="preserve"> </w:t>
      </w:r>
      <w:r w:rsidRPr="438DBEDC" w:rsidR="00C6619E">
        <w:rPr>
          <w:rFonts w:ascii="Times New Roman" w:hAnsi="Times New Roman"/>
          <w:b w:val="1"/>
          <w:bCs w:val="1"/>
          <w:lang w:val="pt-BR"/>
        </w:rPr>
        <w:t xml:space="preserve">(RED VYRAL): </w:t>
      </w:r>
      <w:r w:rsidRPr="438DBEDC" w:rsidR="00C6619E">
        <w:rPr>
          <w:rFonts w:ascii="Times New Roman" w:hAnsi="Times New Roman"/>
          <w:b w:val="1"/>
          <w:bCs w:val="1"/>
          <w:i w:val="1"/>
          <w:iCs w:val="1"/>
          <w:lang w:val="es-ES"/>
        </w:rPr>
        <w:t>Aproximaciones teóricas a la violencia en América Latina: testimonio, victimización, religión y silencio</w:t>
      </w:r>
    </w:p>
    <w:p w:rsidR="00C6619E" w:rsidP="00C6619E" w:rsidRDefault="00C6619E" w14:paraId="6108090E" w14:textId="77777777">
      <w:pPr>
        <w:widowControl w:val="0"/>
        <w:autoSpaceDE w:val="0"/>
        <w:autoSpaceDN w:val="0"/>
        <w:adjustRightInd w:val="0"/>
        <w:ind w:right="-180"/>
        <w:jc w:val="both"/>
        <w:rPr>
          <w:rFonts w:ascii="Times New Roman" w:hAnsi="Times New Roman"/>
          <w:szCs w:val="24"/>
          <w:lang w:val="es-ES"/>
        </w:rPr>
      </w:pPr>
    </w:p>
    <w:p w:rsidRPr="00C6619E" w:rsidR="00C6619E" w:rsidP="00C6619E" w:rsidRDefault="00C6619E" w14:paraId="0C50383A" w14:textId="77777777">
      <w:pPr>
        <w:widowControl w:val="0"/>
        <w:autoSpaceDE w:val="0"/>
        <w:autoSpaceDN w:val="0"/>
        <w:adjustRightInd w:val="0"/>
        <w:ind w:right="-180"/>
        <w:jc w:val="both"/>
        <w:rPr>
          <w:rFonts w:ascii="Times New Roman" w:hAnsi="Times New Roman"/>
          <w:szCs w:val="24"/>
          <w:lang w:val="es-ES"/>
        </w:rPr>
      </w:pPr>
      <w:r>
        <w:rPr>
          <w:rFonts w:ascii="Times New Roman" w:hAnsi="Times New Roman"/>
          <w:szCs w:val="24"/>
          <w:lang w:val="es-ES"/>
        </w:rPr>
        <w:t xml:space="preserve">Moderadora: </w:t>
      </w:r>
      <w:r w:rsidRPr="00C6619E">
        <w:rPr>
          <w:rFonts w:ascii="Times New Roman" w:hAnsi="Times New Roman"/>
          <w:b/>
          <w:szCs w:val="24"/>
          <w:lang w:val="es-ES"/>
        </w:rPr>
        <w:t>Ana María AMAR SÁNCHEZ</w:t>
      </w:r>
    </w:p>
    <w:p w:rsidR="00C6619E" w:rsidP="00C6619E" w:rsidRDefault="00C6619E" w14:paraId="7C89D040" w14:textId="77777777">
      <w:pPr>
        <w:jc w:val="both"/>
        <w:rPr>
          <w:rFonts w:ascii="Times New Roman" w:hAnsi="Times New Roman"/>
          <w:b/>
          <w:bCs/>
          <w:i/>
          <w:iCs/>
          <w:szCs w:val="24"/>
          <w:lang w:val="pt-BR"/>
        </w:rPr>
      </w:pPr>
    </w:p>
    <w:p w:rsidR="00C6619E" w:rsidP="00C6619E" w:rsidRDefault="00C6619E" w14:paraId="4E071685" w14:textId="77777777">
      <w:pPr>
        <w:jc w:val="both"/>
        <w:rPr>
          <w:rFonts w:ascii="Times New Roman" w:hAnsi="Times New Roman"/>
          <w:szCs w:val="24"/>
          <w:lang w:val="es-ES"/>
        </w:rPr>
      </w:pPr>
      <w:r w:rsidRPr="00C6619E">
        <w:rPr>
          <w:rFonts w:ascii="Times New Roman" w:hAnsi="Times New Roman"/>
          <w:szCs w:val="24"/>
          <w:lang w:val="es-ES"/>
        </w:rPr>
        <w:t>Eje:</w:t>
      </w:r>
    </w:p>
    <w:p w:rsidRPr="00C6619E" w:rsidR="00C6619E" w:rsidP="00C6619E" w:rsidRDefault="00C6619E" w14:paraId="00F7BC1F" w14:textId="77777777">
      <w:pPr>
        <w:jc w:val="both"/>
        <w:rPr>
          <w:rFonts w:ascii="Times New Roman" w:hAnsi="Times New Roman"/>
          <w:szCs w:val="24"/>
          <w:lang w:val="es-ES"/>
        </w:rPr>
      </w:pPr>
    </w:p>
    <w:p w:rsidRPr="00C6619E" w:rsidR="00C6619E" w:rsidP="00C6619E" w:rsidRDefault="00C6619E" w14:paraId="3AF88F89" w14:textId="77777777">
      <w:pPr>
        <w:jc w:val="both"/>
        <w:rPr>
          <w:rFonts w:ascii="Times New Roman" w:hAnsi="Times New Roman"/>
          <w:b/>
          <w:szCs w:val="24"/>
          <w:lang w:val="es-ES"/>
        </w:rPr>
      </w:pPr>
      <w:r w:rsidRPr="00C6619E">
        <w:rPr>
          <w:rFonts w:ascii="Times New Roman" w:hAnsi="Times New Roman"/>
          <w:b/>
          <w:szCs w:val="24"/>
          <w:lang w:val="es-ES"/>
        </w:rPr>
        <w:t xml:space="preserve">II) TRAMAS POLÍTICAS </w:t>
      </w:r>
    </w:p>
    <w:p w:rsidRPr="00C6619E" w:rsidR="00C6619E" w:rsidP="00C6619E" w:rsidRDefault="00C6619E" w14:paraId="6CA73CEE" w14:textId="77777777">
      <w:pPr>
        <w:jc w:val="both"/>
        <w:rPr>
          <w:rFonts w:ascii="Times New Roman" w:hAnsi="Times New Roman"/>
          <w:szCs w:val="24"/>
          <w:lang w:val="es-ES"/>
        </w:rPr>
      </w:pPr>
      <w:r w:rsidRPr="00C6619E">
        <w:rPr>
          <w:rFonts w:ascii="Times New Roman" w:hAnsi="Times New Roman"/>
          <w:szCs w:val="24"/>
          <w:lang w:val="es-ES"/>
        </w:rPr>
        <w:t>Violencia directa, estructural, cultural</w:t>
      </w:r>
    </w:p>
    <w:p w:rsidRPr="00C6619E" w:rsidR="00C6619E" w:rsidP="00C6619E" w:rsidRDefault="00C6619E" w14:paraId="66D96AAC" w14:textId="77777777">
      <w:pPr>
        <w:jc w:val="both"/>
        <w:rPr>
          <w:rFonts w:ascii="Times New Roman" w:hAnsi="Times New Roman"/>
          <w:szCs w:val="24"/>
          <w:lang w:val="es-ES"/>
        </w:rPr>
      </w:pPr>
      <w:r w:rsidRPr="00C6619E">
        <w:rPr>
          <w:rFonts w:ascii="Times New Roman" w:hAnsi="Times New Roman"/>
          <w:szCs w:val="24"/>
          <w:lang w:val="es-ES"/>
        </w:rPr>
        <w:t>Políticas de la memoria</w:t>
      </w:r>
    </w:p>
    <w:p w:rsidRPr="00C6619E" w:rsidR="00C6619E" w:rsidP="00C6619E" w:rsidRDefault="00C6619E" w14:paraId="3DDE3E32" w14:textId="77777777">
      <w:pPr>
        <w:jc w:val="both"/>
        <w:rPr>
          <w:rFonts w:ascii="Times New Roman" w:hAnsi="Times New Roman"/>
          <w:szCs w:val="24"/>
          <w:lang w:val="es-ES"/>
        </w:rPr>
      </w:pPr>
      <w:r w:rsidRPr="00C6619E">
        <w:rPr>
          <w:rFonts w:ascii="Times New Roman" w:hAnsi="Times New Roman"/>
          <w:szCs w:val="24"/>
          <w:lang w:val="es-ES"/>
        </w:rPr>
        <w:t>Políticas del lenguaje literario</w:t>
      </w:r>
    </w:p>
    <w:p w:rsidRPr="00C6619E" w:rsidR="00C6619E" w:rsidP="00C6619E" w:rsidRDefault="00C6619E" w14:paraId="1204EBB8" w14:textId="77777777">
      <w:pPr>
        <w:widowControl w:val="0"/>
        <w:autoSpaceDE w:val="0"/>
        <w:autoSpaceDN w:val="0"/>
        <w:adjustRightInd w:val="0"/>
        <w:ind w:right="-180"/>
        <w:jc w:val="both"/>
        <w:rPr>
          <w:rFonts w:ascii="Times New Roman" w:hAnsi="Times New Roman"/>
          <w:b/>
          <w:bCs/>
          <w:iCs/>
          <w:szCs w:val="24"/>
          <w:lang w:val="pt-BR" w:eastAsia="zh-CN"/>
        </w:rPr>
      </w:pPr>
    </w:p>
    <w:p w:rsidRPr="006C1175" w:rsidR="00C6619E" w:rsidP="00C6619E" w:rsidRDefault="00C6619E" w14:paraId="61D3A65E" w14:textId="77777777">
      <w:pPr>
        <w:widowControl w:val="0"/>
        <w:autoSpaceDE w:val="0"/>
        <w:autoSpaceDN w:val="0"/>
        <w:adjustRightInd w:val="0"/>
        <w:ind w:right="-180"/>
        <w:jc w:val="both"/>
        <w:rPr>
          <w:rFonts w:ascii="Times New Roman" w:hAnsi="Times New Roman"/>
          <w:bCs/>
          <w:iCs/>
          <w:szCs w:val="24"/>
          <w:lang w:val="es-ES"/>
        </w:rPr>
      </w:pPr>
      <w:bookmarkStart w:name="_GoBack" w:id="0"/>
      <w:r w:rsidRPr="006C1175">
        <w:rPr>
          <w:rFonts w:ascii="Times New Roman" w:hAnsi="Times New Roman"/>
          <w:bCs/>
          <w:iCs/>
          <w:szCs w:val="24"/>
          <w:lang w:val="es-ES"/>
        </w:rPr>
        <w:t xml:space="preserve">Participantes: </w:t>
      </w:r>
    </w:p>
    <w:bookmarkEnd w:id="0"/>
    <w:p w:rsidRPr="00C6619E" w:rsidR="00C6619E" w:rsidP="00C6619E" w:rsidRDefault="00C6619E" w14:paraId="0FA24AA7" w14:textId="77777777">
      <w:pPr>
        <w:widowControl w:val="0"/>
        <w:autoSpaceDE w:val="0"/>
        <w:autoSpaceDN w:val="0"/>
        <w:adjustRightInd w:val="0"/>
        <w:ind w:right="-180"/>
        <w:jc w:val="both"/>
        <w:rPr>
          <w:rFonts w:ascii="Times New Roman" w:hAnsi="Times New Roman"/>
          <w:b/>
          <w:bCs/>
          <w:iCs/>
          <w:szCs w:val="24"/>
          <w:lang w:val="es-ES"/>
        </w:rPr>
      </w:pPr>
    </w:p>
    <w:p w:rsidRPr="00C6619E" w:rsidR="00C6619E" w:rsidP="00C6619E" w:rsidRDefault="00C6619E" w14:paraId="6016AEB9" w14:textId="77777777">
      <w:pPr>
        <w:widowControl w:val="0"/>
        <w:autoSpaceDE w:val="0"/>
        <w:autoSpaceDN w:val="0"/>
        <w:adjustRightInd w:val="0"/>
        <w:ind w:right="-180"/>
        <w:jc w:val="both"/>
        <w:rPr>
          <w:rFonts w:ascii="Times New Roman" w:hAnsi="Times New Roman"/>
          <w:b/>
          <w:bCs/>
          <w:iCs/>
          <w:szCs w:val="24"/>
          <w:lang w:val="es-ES"/>
        </w:rPr>
      </w:pPr>
      <w:r w:rsidRPr="00C6619E">
        <w:rPr>
          <w:rFonts w:ascii="Times New Roman" w:hAnsi="Times New Roman"/>
          <w:b/>
          <w:bCs/>
          <w:iCs/>
          <w:szCs w:val="24"/>
          <w:lang w:val="es-ES"/>
        </w:rPr>
        <w:t>1- Ana María AMAR SÁNCHEZ</w:t>
      </w:r>
    </w:p>
    <w:p w:rsidRPr="00C6619E" w:rsidR="00C6619E" w:rsidP="00C6619E" w:rsidRDefault="00C6619E" w14:paraId="6139E90A" w14:textId="77777777">
      <w:pPr>
        <w:widowControl w:val="0"/>
        <w:autoSpaceDE w:val="0"/>
        <w:autoSpaceDN w:val="0"/>
        <w:adjustRightInd w:val="0"/>
        <w:ind w:right="-180"/>
        <w:jc w:val="both"/>
        <w:rPr>
          <w:rFonts w:ascii="Times New Roman" w:hAnsi="Times New Roman"/>
          <w:bCs/>
          <w:iCs/>
          <w:szCs w:val="24"/>
          <w:lang w:val="es-ES"/>
        </w:rPr>
      </w:pPr>
    </w:p>
    <w:p w:rsidRPr="00C6619E" w:rsidR="00C6619E" w:rsidP="00C6619E" w:rsidRDefault="00C6619E" w14:paraId="05AE0BD0" w14:textId="77777777">
      <w:pPr>
        <w:widowControl w:val="0"/>
        <w:autoSpaceDE w:val="0"/>
        <w:autoSpaceDN w:val="0"/>
        <w:adjustRightInd w:val="0"/>
        <w:ind w:right="-180"/>
        <w:jc w:val="both"/>
        <w:rPr>
          <w:rFonts w:ascii="Times New Roman" w:hAnsi="Times New Roman"/>
          <w:bCs/>
          <w:iCs/>
          <w:szCs w:val="24"/>
          <w:lang w:val="es-ES"/>
        </w:rPr>
      </w:pPr>
      <w:proofErr w:type="spellStart"/>
      <w:r w:rsidRPr="00C6619E">
        <w:rPr>
          <w:rFonts w:ascii="Times New Roman" w:hAnsi="Times New Roman"/>
          <w:bCs/>
          <w:iCs/>
          <w:szCs w:val="24"/>
          <w:lang w:val="es-ES"/>
        </w:rPr>
        <w:t>University</w:t>
      </w:r>
      <w:proofErr w:type="spellEnd"/>
      <w:r w:rsidRPr="00C6619E">
        <w:rPr>
          <w:rFonts w:ascii="Times New Roman" w:hAnsi="Times New Roman"/>
          <w:bCs/>
          <w:iCs/>
          <w:szCs w:val="24"/>
          <w:lang w:val="es-ES"/>
        </w:rPr>
        <w:t xml:space="preserve"> </w:t>
      </w:r>
      <w:proofErr w:type="spellStart"/>
      <w:r w:rsidRPr="00C6619E">
        <w:rPr>
          <w:rFonts w:ascii="Times New Roman" w:hAnsi="Times New Roman"/>
          <w:bCs/>
          <w:iCs/>
          <w:szCs w:val="24"/>
          <w:lang w:val="es-ES"/>
        </w:rPr>
        <w:t>of</w:t>
      </w:r>
      <w:proofErr w:type="spellEnd"/>
      <w:r w:rsidRPr="00C6619E">
        <w:rPr>
          <w:rFonts w:ascii="Times New Roman" w:hAnsi="Times New Roman"/>
          <w:bCs/>
          <w:iCs/>
          <w:szCs w:val="24"/>
          <w:lang w:val="es-ES"/>
        </w:rPr>
        <w:t xml:space="preserve"> California, Irvine</w:t>
      </w:r>
    </w:p>
    <w:p w:rsidRPr="00C6619E" w:rsidR="00C6619E" w:rsidP="00C6619E" w:rsidRDefault="00C6619E" w14:paraId="0107E29D" w14:textId="77777777">
      <w:pPr>
        <w:widowControl w:val="0"/>
        <w:autoSpaceDE w:val="0"/>
        <w:autoSpaceDN w:val="0"/>
        <w:adjustRightInd w:val="0"/>
        <w:ind w:right="-180"/>
        <w:jc w:val="both"/>
        <w:rPr>
          <w:rFonts w:ascii="Times New Roman" w:hAnsi="Times New Roman"/>
          <w:bCs/>
          <w:iCs/>
          <w:szCs w:val="24"/>
          <w:lang w:val="es-ES"/>
        </w:rPr>
      </w:pPr>
    </w:p>
    <w:p w:rsidRPr="00C6619E" w:rsidR="00C6619E" w:rsidP="00C6619E" w:rsidRDefault="00C6619E" w14:paraId="268D4F6B" w14:textId="77777777">
      <w:pPr>
        <w:widowControl w:val="0"/>
        <w:autoSpaceDE w:val="0"/>
        <w:autoSpaceDN w:val="0"/>
        <w:adjustRightInd w:val="0"/>
        <w:ind w:right="-180"/>
        <w:jc w:val="both"/>
        <w:rPr>
          <w:rFonts w:ascii="Times New Roman" w:hAnsi="Times New Roman"/>
          <w:b/>
          <w:bCs/>
          <w:iCs/>
          <w:szCs w:val="24"/>
          <w:lang w:val="es-ES"/>
        </w:rPr>
      </w:pPr>
      <w:r w:rsidRPr="00C6619E">
        <w:rPr>
          <w:rFonts w:ascii="Times New Roman" w:hAnsi="Times New Roman"/>
          <w:bCs/>
          <w:iCs/>
          <w:szCs w:val="24"/>
          <w:lang w:val="es-ES"/>
        </w:rPr>
        <w:t>Título: “</w:t>
      </w:r>
      <w:r w:rsidRPr="00C6619E">
        <w:rPr>
          <w:rFonts w:ascii="Times New Roman" w:hAnsi="Times New Roman"/>
          <w:b/>
          <w:bCs/>
          <w:iCs/>
          <w:szCs w:val="24"/>
          <w:lang w:val="es-ES"/>
        </w:rPr>
        <w:t>Representaciones de violencia en las ficciones políticas: cuestiones en torno a la relación entre víctima y silencio”</w:t>
      </w:r>
    </w:p>
    <w:p w:rsidRPr="00C6619E" w:rsidR="00C6619E" w:rsidP="00C6619E" w:rsidRDefault="00C6619E" w14:paraId="162C800F" w14:textId="77777777">
      <w:pPr>
        <w:widowControl w:val="0"/>
        <w:autoSpaceDE w:val="0"/>
        <w:autoSpaceDN w:val="0"/>
        <w:adjustRightInd w:val="0"/>
        <w:ind w:right="-180"/>
        <w:jc w:val="both"/>
        <w:rPr>
          <w:rFonts w:ascii="Times New Roman" w:hAnsi="Times New Roman"/>
          <w:b/>
          <w:bCs/>
          <w:i/>
          <w:iCs/>
          <w:szCs w:val="24"/>
          <w:lang w:val="es-ES"/>
        </w:rPr>
      </w:pPr>
    </w:p>
    <w:p w:rsidRPr="00C6619E" w:rsidR="00C6619E" w:rsidP="00C6619E" w:rsidRDefault="00C6619E" w14:paraId="443989AA" w14:textId="77777777">
      <w:pPr>
        <w:widowControl w:val="0"/>
        <w:autoSpaceDE w:val="0"/>
        <w:autoSpaceDN w:val="0"/>
        <w:adjustRightInd w:val="0"/>
        <w:ind w:right="-180"/>
        <w:jc w:val="both"/>
        <w:rPr>
          <w:rFonts w:ascii="Times New Roman" w:hAnsi="Times New Roman"/>
          <w:bCs/>
          <w:iCs/>
          <w:szCs w:val="24"/>
          <w:lang w:val="es-ES"/>
        </w:rPr>
      </w:pPr>
      <w:r w:rsidRPr="00C6619E">
        <w:rPr>
          <w:rFonts w:ascii="Times New Roman" w:hAnsi="Times New Roman"/>
          <w:bCs/>
          <w:iCs/>
          <w:szCs w:val="24"/>
          <w:lang w:val="es-ES"/>
        </w:rPr>
        <w:t xml:space="preserve">Propuesta: </w:t>
      </w:r>
    </w:p>
    <w:p w:rsidRPr="00C6619E" w:rsidR="00C6619E" w:rsidP="00C6619E" w:rsidRDefault="00C6619E" w14:paraId="6E632884" w14:textId="77777777">
      <w:pPr>
        <w:widowControl w:val="0"/>
        <w:autoSpaceDE w:val="0"/>
        <w:autoSpaceDN w:val="0"/>
        <w:adjustRightInd w:val="0"/>
        <w:ind w:right="-180"/>
        <w:jc w:val="both"/>
        <w:rPr>
          <w:rFonts w:ascii="Times New Roman" w:hAnsi="Times New Roman"/>
          <w:bCs/>
          <w:iCs/>
          <w:szCs w:val="24"/>
          <w:lang w:val="es-ES"/>
        </w:rPr>
      </w:pPr>
    </w:p>
    <w:p w:rsidRPr="00C6619E" w:rsidR="00C6619E" w:rsidP="00C6619E" w:rsidRDefault="00C6619E" w14:paraId="6D164BBB" w14:textId="77777777">
      <w:pPr>
        <w:ind w:right="-180"/>
        <w:jc w:val="both"/>
        <w:rPr>
          <w:rFonts w:ascii="Times New Roman" w:hAnsi="Times New Roman"/>
          <w:szCs w:val="24"/>
          <w:lang w:val="es-ES"/>
        </w:rPr>
      </w:pPr>
      <w:r w:rsidRPr="00C6619E">
        <w:rPr>
          <w:rFonts w:ascii="Times New Roman" w:hAnsi="Times New Roman"/>
          <w:szCs w:val="24"/>
          <w:lang w:val="es-ES"/>
        </w:rPr>
        <w:t xml:space="preserve">Se ha pensado la categoría de </w:t>
      </w:r>
      <w:r w:rsidRPr="00C6619E">
        <w:rPr>
          <w:rFonts w:ascii="Times New Roman" w:hAnsi="Times New Roman"/>
          <w:i/>
          <w:iCs/>
          <w:szCs w:val="24"/>
          <w:lang w:val="es-ES"/>
        </w:rPr>
        <w:t>víctima</w:t>
      </w:r>
      <w:r w:rsidRPr="00C6619E">
        <w:rPr>
          <w:rFonts w:ascii="Times New Roman" w:hAnsi="Times New Roman"/>
          <w:szCs w:val="24"/>
          <w:lang w:val="es-ES"/>
        </w:rPr>
        <w:t xml:space="preserve"> en relación, principalmente, con el testimonio; sin embargo, resulta fundamental cuando se consideran las diversas representaciones de la violencia en la ficción contemporánea, su lenguaje y la función –muchas veces contradictoria– del </w:t>
      </w:r>
      <w:r w:rsidRPr="00C6619E">
        <w:rPr>
          <w:rFonts w:ascii="Times New Roman" w:hAnsi="Times New Roman"/>
          <w:i/>
          <w:iCs/>
          <w:szCs w:val="24"/>
          <w:lang w:val="es-ES"/>
        </w:rPr>
        <w:t>silencio</w:t>
      </w:r>
      <w:r w:rsidRPr="00C6619E">
        <w:rPr>
          <w:rFonts w:ascii="Times New Roman" w:hAnsi="Times New Roman"/>
          <w:szCs w:val="24"/>
          <w:lang w:val="es-ES"/>
        </w:rPr>
        <w:t xml:space="preserve"> en la constitución de esta figura. La víctima establece un lazo complejo con las nociones de verdad y de memoria; su sola presencia corporiza y confirma la violencia sufrida que, cualquiera sea la naturaleza de lo padecido, es siempre un hecho político. La ponencia se concentra en el análisis que la articulación entre </w:t>
      </w:r>
      <w:r w:rsidRPr="00C6619E">
        <w:rPr>
          <w:rFonts w:ascii="Times New Roman" w:hAnsi="Times New Roman"/>
          <w:i/>
          <w:iCs/>
          <w:szCs w:val="24"/>
          <w:lang w:val="es-ES"/>
        </w:rPr>
        <w:t>víctima y silencio</w:t>
      </w:r>
      <w:r w:rsidRPr="00C6619E">
        <w:rPr>
          <w:rFonts w:ascii="Times New Roman" w:hAnsi="Times New Roman"/>
          <w:szCs w:val="24"/>
          <w:lang w:val="es-ES"/>
        </w:rPr>
        <w:t xml:space="preserve"> configura en algunos textos donde el vínculo con la violencia plantea un nexo peculiar con el lenguaje. O, mejor dicho, con su aparente ausencia: se trata de textos que han explorado las múltiples estrategias del silencio para delinear victimas poco convencionales, marcadas por la precariedad y la fragilidad –como los niños o las mujeres–. Los relatos de autores muy diferentes entre sí, de distintas generaciones y estéticas, como Eduardo </w:t>
      </w:r>
      <w:proofErr w:type="spellStart"/>
      <w:r w:rsidRPr="00C6619E">
        <w:rPr>
          <w:rFonts w:ascii="Times New Roman" w:hAnsi="Times New Roman"/>
          <w:szCs w:val="24"/>
          <w:lang w:val="es-ES"/>
        </w:rPr>
        <w:t>Halfon</w:t>
      </w:r>
      <w:proofErr w:type="spellEnd"/>
      <w:r w:rsidRPr="00C6619E">
        <w:rPr>
          <w:rFonts w:ascii="Times New Roman" w:hAnsi="Times New Roman"/>
          <w:szCs w:val="24"/>
          <w:lang w:val="es-ES"/>
        </w:rPr>
        <w:t xml:space="preserve">, Elvio Gandolfo, Mauricio </w:t>
      </w:r>
      <w:proofErr w:type="spellStart"/>
      <w:r w:rsidRPr="00C6619E">
        <w:rPr>
          <w:rFonts w:ascii="Times New Roman" w:hAnsi="Times New Roman"/>
          <w:szCs w:val="24"/>
          <w:lang w:val="es-ES"/>
        </w:rPr>
        <w:t>Rosencof</w:t>
      </w:r>
      <w:proofErr w:type="spellEnd"/>
      <w:r w:rsidRPr="00C6619E">
        <w:rPr>
          <w:rFonts w:ascii="Times New Roman" w:hAnsi="Times New Roman"/>
          <w:szCs w:val="24"/>
          <w:lang w:val="es-ES"/>
        </w:rPr>
        <w:t xml:space="preserve"> y Alejandra </w:t>
      </w:r>
      <w:proofErr w:type="spellStart"/>
      <w:r w:rsidRPr="00C6619E">
        <w:rPr>
          <w:rFonts w:ascii="Times New Roman" w:hAnsi="Times New Roman"/>
          <w:szCs w:val="24"/>
          <w:lang w:val="es-ES"/>
        </w:rPr>
        <w:t>Costamagna</w:t>
      </w:r>
      <w:proofErr w:type="spellEnd"/>
      <w:r w:rsidRPr="00C6619E">
        <w:rPr>
          <w:rFonts w:ascii="Times New Roman" w:hAnsi="Times New Roman"/>
          <w:szCs w:val="24"/>
          <w:lang w:val="es-ES"/>
        </w:rPr>
        <w:t xml:space="preserve">, permiten reflexionar sobre estas cuestiones en la medida en que en todos ellos las </w:t>
      </w:r>
      <w:r w:rsidRPr="00C6619E">
        <w:rPr>
          <w:rFonts w:ascii="Times New Roman" w:hAnsi="Times New Roman"/>
          <w:i/>
          <w:iCs/>
          <w:szCs w:val="24"/>
          <w:lang w:val="es-ES"/>
        </w:rPr>
        <w:t>formas</w:t>
      </w:r>
      <w:r w:rsidRPr="00C6619E">
        <w:rPr>
          <w:rFonts w:ascii="Times New Roman" w:hAnsi="Times New Roman"/>
          <w:szCs w:val="24"/>
          <w:lang w:val="es-ES"/>
        </w:rPr>
        <w:t xml:space="preserve"> del silencio definen la representación de la víctima.</w:t>
      </w:r>
    </w:p>
    <w:p w:rsidRPr="00C6619E" w:rsidR="00C6619E" w:rsidP="00C6619E" w:rsidRDefault="00C6619E" w14:paraId="0B6447D6" w14:textId="77777777">
      <w:pPr>
        <w:jc w:val="both"/>
        <w:rPr>
          <w:rFonts w:ascii="Times New Roman" w:hAnsi="Times New Roman"/>
          <w:szCs w:val="24"/>
          <w:lang w:val="es-ES"/>
        </w:rPr>
      </w:pPr>
    </w:p>
    <w:p w:rsidR="006D7488" w:rsidP="00C6619E" w:rsidRDefault="006D7488" w14:paraId="40330B5A" w14:textId="77777777">
      <w:pPr>
        <w:jc w:val="both"/>
        <w:rPr>
          <w:rFonts w:ascii="Times New Roman" w:hAnsi="Times New Roman"/>
          <w:szCs w:val="24"/>
          <w:lang w:val="es-ES"/>
        </w:rPr>
      </w:pPr>
    </w:p>
    <w:p w:rsidRPr="00C6619E" w:rsidR="00C6619E" w:rsidP="00C6619E" w:rsidRDefault="00C6619E" w14:paraId="14A0704B" w14:textId="2C61D4F2">
      <w:pPr>
        <w:jc w:val="both"/>
        <w:rPr>
          <w:rFonts w:ascii="Times New Roman" w:hAnsi="Times New Roman"/>
          <w:b/>
          <w:szCs w:val="24"/>
          <w:lang w:val="es-ES"/>
        </w:rPr>
      </w:pPr>
      <w:r w:rsidRPr="00C6619E">
        <w:rPr>
          <w:rFonts w:ascii="Times New Roman" w:hAnsi="Times New Roman"/>
          <w:b/>
          <w:szCs w:val="24"/>
          <w:lang w:val="es-ES"/>
        </w:rPr>
        <w:lastRenderedPageBreak/>
        <w:t>2- Teresa BASILE</w:t>
      </w:r>
    </w:p>
    <w:p w:rsidRPr="00C6619E" w:rsidR="00C6619E" w:rsidP="00C6619E" w:rsidRDefault="00C6619E" w14:paraId="6A009E79" w14:textId="77777777">
      <w:pPr>
        <w:jc w:val="both"/>
        <w:rPr>
          <w:rFonts w:ascii="Times New Roman" w:hAnsi="Times New Roman" w:eastAsia="Times"/>
          <w:szCs w:val="24"/>
          <w:lang w:val="es-ES" w:eastAsia="fr-FR"/>
        </w:rPr>
      </w:pPr>
    </w:p>
    <w:p w:rsidRPr="00C6619E" w:rsidR="00C6619E" w:rsidP="00C6619E" w:rsidRDefault="00C6619E" w14:paraId="34CC6EC2" w14:textId="77777777">
      <w:pPr>
        <w:jc w:val="both"/>
        <w:rPr>
          <w:rFonts w:ascii="Times New Roman" w:hAnsi="Times New Roman" w:eastAsia="Times"/>
          <w:szCs w:val="24"/>
          <w:lang w:val="es-ES" w:eastAsia="fr-FR"/>
        </w:rPr>
      </w:pPr>
      <w:r w:rsidRPr="00C6619E">
        <w:rPr>
          <w:rFonts w:ascii="Times New Roman" w:hAnsi="Times New Roman" w:eastAsia="Times"/>
          <w:szCs w:val="24"/>
          <w:lang w:val="es-ES" w:eastAsia="fr-FR"/>
        </w:rPr>
        <w:t>Universidad de La Plata</w:t>
      </w:r>
    </w:p>
    <w:p w:rsidRPr="00C6619E" w:rsidR="00C6619E" w:rsidP="00C6619E" w:rsidRDefault="00C6619E" w14:paraId="21C1EA69" w14:textId="77777777">
      <w:pPr>
        <w:jc w:val="both"/>
        <w:rPr>
          <w:rFonts w:ascii="Times New Roman" w:hAnsi="Times New Roman" w:eastAsia="Times"/>
          <w:b/>
          <w:szCs w:val="24"/>
          <w:lang w:val="es-ES" w:eastAsia="fr-FR"/>
        </w:rPr>
      </w:pPr>
    </w:p>
    <w:p w:rsidRPr="00C6619E" w:rsidR="00C6619E" w:rsidP="00C6619E" w:rsidRDefault="00C6619E" w14:paraId="274A8122" w14:textId="77777777">
      <w:pPr>
        <w:jc w:val="both"/>
        <w:rPr>
          <w:rFonts w:ascii="Times New Roman" w:hAnsi="Times New Roman" w:eastAsia="Times"/>
          <w:szCs w:val="24"/>
          <w:lang w:val="es-ES" w:eastAsia="fr-FR"/>
        </w:rPr>
      </w:pPr>
      <w:r w:rsidRPr="00C6619E">
        <w:rPr>
          <w:rFonts w:ascii="Times New Roman" w:hAnsi="Times New Roman" w:eastAsia="Times"/>
          <w:szCs w:val="24"/>
          <w:lang w:val="es-ES" w:eastAsia="fr-FR"/>
        </w:rPr>
        <w:t>Título:</w:t>
      </w:r>
      <w:r w:rsidRPr="00C6619E">
        <w:rPr>
          <w:rFonts w:ascii="Times New Roman" w:hAnsi="Times New Roman" w:eastAsia="Times"/>
          <w:b/>
          <w:szCs w:val="24"/>
          <w:lang w:val="es-ES" w:eastAsia="fr-FR"/>
        </w:rPr>
        <w:t xml:space="preserve"> “Reinstitucionalización del testimonio en América Latina desde la narrativa humanitaria” </w:t>
      </w:r>
    </w:p>
    <w:p w:rsidRPr="00C6619E" w:rsidR="00C6619E" w:rsidP="00C6619E" w:rsidRDefault="00C6619E" w14:paraId="7048B7A9" w14:textId="77777777">
      <w:pPr>
        <w:pStyle w:val="NormalWeb"/>
        <w:jc w:val="both"/>
        <w:rPr>
          <w:rFonts w:ascii="Times New Roman" w:hAnsi="Times New Roman"/>
          <w:sz w:val="24"/>
          <w:szCs w:val="24"/>
          <w:lang w:val="es-ES" w:eastAsia="fr-FR"/>
        </w:rPr>
      </w:pPr>
      <w:r w:rsidRPr="00C6619E">
        <w:rPr>
          <w:rFonts w:ascii="Times New Roman" w:hAnsi="Times New Roman"/>
          <w:sz w:val="24"/>
          <w:szCs w:val="24"/>
          <w:lang w:val="es-ES" w:eastAsia="fr-FR"/>
        </w:rPr>
        <w:t xml:space="preserve">Propuesta: </w:t>
      </w:r>
    </w:p>
    <w:p w:rsidRPr="00C6619E" w:rsidR="00C6619E" w:rsidP="006D7488" w:rsidRDefault="00C6619E" w14:paraId="082785AF" w14:textId="033B4484">
      <w:pPr>
        <w:pStyle w:val="NormalWeb"/>
        <w:jc w:val="both"/>
        <w:rPr>
          <w:rFonts w:ascii="Times New Roman" w:hAnsi="Times New Roman"/>
          <w:sz w:val="24"/>
          <w:szCs w:val="24"/>
          <w:lang w:val="es-ES" w:eastAsia="fr-FR"/>
        </w:rPr>
      </w:pPr>
      <w:r w:rsidRPr="00C6619E">
        <w:rPr>
          <w:rFonts w:ascii="Times New Roman" w:hAnsi="Times New Roman"/>
          <w:sz w:val="24"/>
          <w:szCs w:val="24"/>
          <w:lang w:val="es-ES" w:eastAsia="fr-FR"/>
        </w:rPr>
        <w:t xml:space="preserve">Considerando la fuerte tradición del testimonio en América Latina, cuya primera canonización se gestó en las décadas de 1960 y 1970 en torno a la experiencia de la revolución cubana, nos interesa proponer un segundo momento de </w:t>
      </w:r>
      <w:proofErr w:type="spellStart"/>
      <w:proofErr w:type="gramStart"/>
      <w:r w:rsidRPr="00C6619E">
        <w:rPr>
          <w:rFonts w:ascii="Times New Roman" w:hAnsi="Times New Roman"/>
          <w:sz w:val="24"/>
          <w:szCs w:val="24"/>
          <w:lang w:val="es-ES" w:eastAsia="fr-FR"/>
        </w:rPr>
        <w:t>re-institucionalización</w:t>
      </w:r>
      <w:proofErr w:type="spellEnd"/>
      <w:proofErr w:type="gramEnd"/>
      <w:r w:rsidRPr="00C6619E">
        <w:rPr>
          <w:rFonts w:ascii="Times New Roman" w:hAnsi="Times New Roman"/>
          <w:sz w:val="24"/>
          <w:szCs w:val="24"/>
          <w:lang w:val="es-ES" w:eastAsia="fr-FR"/>
        </w:rPr>
        <w:t xml:space="preserve"> del testimonio latinoamericano a partir de las experiencias del terrorismo de Estado en el Cono</w:t>
      </w:r>
      <w:r w:rsidRPr="00C6619E">
        <w:rPr>
          <w:rFonts w:ascii="Times New Roman" w:hAnsi="Times New Roman"/>
          <w:sz w:val="24"/>
          <w:szCs w:val="24"/>
          <w:lang w:val="es-ES"/>
        </w:rPr>
        <w:t xml:space="preserve"> </w:t>
      </w:r>
      <w:r w:rsidRPr="00C6619E">
        <w:rPr>
          <w:rFonts w:ascii="Times New Roman" w:hAnsi="Times New Roman"/>
          <w:sz w:val="24"/>
          <w:szCs w:val="24"/>
          <w:lang w:val="es-ES" w:eastAsia="fr-FR"/>
        </w:rPr>
        <w:t>Sur. Lo que supone el paso desde una narrativa revolucionaria hacia otra narrativa humanitaria con los consiguientes cambios en torno a los imaginarios. De las múltiples formas que adquiere el género testimonial en este segundo momento, creemos posible delimitar lo que llamaremos el “testimonio sobre la desaparición de personas”, cuya forma canónica la encontramos en el volumen Nunca más (1984). En esta línea vamos a explorar el imaginario que se despliega en torno a la desaparición de personas -fundado en la matriz de los derechos humanos-, así como las implicancias culturales y políticas que se fueron gestando a partir de él. </w:t>
      </w:r>
    </w:p>
    <w:p w:rsidRPr="00C6619E" w:rsidR="00C6619E" w:rsidP="00C6619E" w:rsidRDefault="00C6619E" w14:paraId="6F402FE3" w14:textId="77777777">
      <w:pPr>
        <w:spacing w:before="100" w:beforeAutospacing="1" w:after="120" w:line="276" w:lineRule="auto"/>
        <w:jc w:val="both"/>
        <w:rPr>
          <w:rFonts w:ascii="Times New Roman" w:hAnsi="Times New Roman"/>
          <w:b/>
          <w:szCs w:val="24"/>
          <w:lang w:val="es-ES"/>
        </w:rPr>
      </w:pPr>
      <w:r w:rsidRPr="00C6619E">
        <w:rPr>
          <w:rFonts w:ascii="Times New Roman" w:hAnsi="Times New Roman"/>
          <w:b/>
          <w:szCs w:val="24"/>
          <w:lang w:val="es-ES"/>
        </w:rPr>
        <w:t>3-</w:t>
      </w:r>
      <w:r>
        <w:rPr>
          <w:rFonts w:ascii="Times New Roman" w:hAnsi="Times New Roman"/>
          <w:b/>
          <w:szCs w:val="24"/>
          <w:lang w:val="es-ES"/>
        </w:rPr>
        <w:t xml:space="preserve"> </w:t>
      </w:r>
      <w:r w:rsidRPr="00C6619E">
        <w:rPr>
          <w:rFonts w:ascii="Times New Roman" w:hAnsi="Times New Roman"/>
          <w:b/>
          <w:szCs w:val="24"/>
          <w:lang w:val="es-ES"/>
        </w:rPr>
        <w:t>Lucero de VIVANCO</w:t>
      </w:r>
    </w:p>
    <w:p w:rsidRPr="00C6619E" w:rsidR="00C6619E" w:rsidP="00C6619E" w:rsidRDefault="00C6619E" w14:paraId="0C7A02D7" w14:textId="77777777">
      <w:pPr>
        <w:spacing w:before="100" w:beforeAutospacing="1" w:after="120" w:line="276" w:lineRule="auto"/>
        <w:jc w:val="both"/>
        <w:rPr>
          <w:rFonts w:ascii="Times New Roman" w:hAnsi="Times New Roman"/>
          <w:szCs w:val="24"/>
          <w:lang w:val="es-ES"/>
        </w:rPr>
      </w:pPr>
      <w:r w:rsidRPr="00C6619E">
        <w:rPr>
          <w:rFonts w:ascii="Times New Roman" w:hAnsi="Times New Roman"/>
          <w:szCs w:val="24"/>
          <w:lang w:val="es-ES"/>
        </w:rPr>
        <w:t>Universidad Alberto Hurtado</w:t>
      </w:r>
    </w:p>
    <w:p w:rsidRPr="00C6619E" w:rsidR="00C6619E" w:rsidP="00C6619E" w:rsidRDefault="00C6619E" w14:paraId="3FCBB0D2" w14:textId="77777777">
      <w:pPr>
        <w:spacing w:before="100" w:beforeAutospacing="1" w:after="120" w:line="276" w:lineRule="auto"/>
        <w:jc w:val="both"/>
        <w:rPr>
          <w:rFonts w:ascii="Times New Roman" w:hAnsi="Times New Roman"/>
          <w:b/>
          <w:iCs/>
          <w:szCs w:val="24"/>
          <w:lang w:val="es-ES" w:eastAsia="zh-CN"/>
        </w:rPr>
      </w:pPr>
      <w:r w:rsidRPr="00C6619E">
        <w:rPr>
          <w:rFonts w:ascii="Times New Roman" w:hAnsi="Times New Roman"/>
          <w:iCs/>
          <w:szCs w:val="24"/>
          <w:lang w:val="es-ES" w:eastAsia="zh-CN"/>
        </w:rPr>
        <w:t>Título:</w:t>
      </w:r>
      <w:r w:rsidRPr="00C6619E">
        <w:rPr>
          <w:rFonts w:ascii="Times New Roman" w:hAnsi="Times New Roman"/>
          <w:b/>
          <w:iCs/>
          <w:szCs w:val="24"/>
          <w:lang w:val="es-ES" w:eastAsia="zh-CN"/>
        </w:rPr>
        <w:t xml:space="preserve"> “El problema de la víctima en la narrativa peruana de la memoria”</w:t>
      </w:r>
    </w:p>
    <w:p w:rsidRPr="00C6619E" w:rsidR="00C6619E" w:rsidP="00C6619E" w:rsidRDefault="00C6619E" w14:paraId="044B4368" w14:textId="77777777">
      <w:pPr>
        <w:spacing w:before="100" w:beforeAutospacing="1" w:after="120" w:line="276" w:lineRule="auto"/>
        <w:jc w:val="both"/>
        <w:rPr>
          <w:rFonts w:ascii="Times New Roman" w:hAnsi="Times New Roman"/>
          <w:iCs/>
          <w:szCs w:val="24"/>
          <w:lang w:val="es-ES" w:eastAsia="zh-CN"/>
        </w:rPr>
      </w:pPr>
      <w:r w:rsidRPr="00C6619E">
        <w:rPr>
          <w:rFonts w:ascii="Times New Roman" w:hAnsi="Times New Roman"/>
          <w:iCs/>
          <w:szCs w:val="24"/>
          <w:lang w:val="es-ES" w:eastAsia="zh-CN"/>
        </w:rPr>
        <w:t xml:space="preserve">Propuesta: </w:t>
      </w:r>
    </w:p>
    <w:p w:rsidRPr="00C6619E" w:rsidR="00C6619E" w:rsidP="006D7488" w:rsidRDefault="00C6619E" w14:paraId="56659B76" w14:textId="77777777">
      <w:pPr>
        <w:spacing w:before="100" w:beforeAutospacing="1" w:after="120"/>
        <w:jc w:val="both"/>
        <w:rPr>
          <w:rFonts w:ascii="Times New Roman" w:hAnsi="Times New Roman"/>
          <w:b/>
          <w:szCs w:val="24"/>
          <w:lang w:val="es-ES" w:eastAsia="zh-CN"/>
        </w:rPr>
      </w:pPr>
      <w:r w:rsidRPr="00C6619E">
        <w:rPr>
          <w:rFonts w:ascii="Times New Roman" w:hAnsi="Times New Roman"/>
          <w:szCs w:val="24"/>
          <w:lang w:val="es-ES" w:eastAsia="zh-CN"/>
        </w:rPr>
        <w:t xml:space="preserve">Esta ponencia se propone problematizar la categoría de víctima dentro de las narrativas peruanas de la memoria y discutir desde dichas narrativas las conceptualizaciones sobre el problema de la victimización formuladas dentro del paradigma a los derechos humanos. Esto se hará a partir de tres criterios de clasificación respecto tanto de la narratología como de la victimología. Primero, desde una aproximación representacional, el criterio de la participación de la víctima en los actos de violencia. Según el punto de vista de los DDHH, este criterio determina una dicotomía excluyente entre la víctima "pura" y pasiva, y un victimario activo que causa el sufrimiento de la víctima. Segundo, también desde una aproximación representacional, el criterio de la vulnerabilidad con la que se construye al sujeto </w:t>
      </w:r>
      <w:proofErr w:type="spellStart"/>
      <w:r w:rsidRPr="00C6619E">
        <w:rPr>
          <w:rFonts w:ascii="Times New Roman" w:hAnsi="Times New Roman"/>
          <w:szCs w:val="24"/>
          <w:lang w:val="es-ES" w:eastAsia="zh-CN"/>
        </w:rPr>
        <w:t>victimal</w:t>
      </w:r>
      <w:proofErr w:type="spellEnd"/>
      <w:r w:rsidRPr="00C6619E">
        <w:rPr>
          <w:rFonts w:ascii="Times New Roman" w:hAnsi="Times New Roman"/>
          <w:szCs w:val="24"/>
          <w:lang w:val="es-ES" w:eastAsia="zh-CN"/>
        </w:rPr>
        <w:t>, confrontando un tipo de vulnerabilidad radical propia de la «naturaleza humana», según proponen enfoques éticos afines a los DDHH, y condicionamientos históricos y sociales como causales de vulnerabilidad y violencia. Tercero, desde una aproximación a la enunciación, el criterio de producción discursiva mediante la cual se constituye la víctima según el paradigma de los DDHH, para analizar las formas que toman las narrativas en su búsqueda de lenguajes posibles y eficaces para testimoniar el horror.</w:t>
      </w:r>
    </w:p>
    <w:p w:rsidRPr="00C6619E" w:rsidR="00C6619E" w:rsidP="00C6619E" w:rsidRDefault="00C6619E" w14:paraId="1309DDEE" w14:textId="77777777">
      <w:pPr>
        <w:jc w:val="both"/>
        <w:rPr>
          <w:rFonts w:ascii="Times New Roman" w:hAnsi="Times New Roman"/>
          <w:szCs w:val="24"/>
          <w:lang w:val="es-ES"/>
        </w:rPr>
      </w:pPr>
    </w:p>
    <w:p w:rsidRPr="00C6619E" w:rsidR="00C6619E" w:rsidP="00C6619E" w:rsidRDefault="00C6619E" w14:paraId="7C93A1B0" w14:textId="77777777">
      <w:pPr>
        <w:rPr>
          <w:rFonts w:ascii="Times New Roman" w:hAnsi="Times New Roman"/>
          <w:b/>
          <w:lang w:val="es-ES"/>
        </w:rPr>
      </w:pPr>
      <w:r w:rsidRPr="00C6619E">
        <w:rPr>
          <w:rFonts w:ascii="Times New Roman" w:hAnsi="Times New Roman"/>
          <w:b/>
          <w:lang w:val="es-ES"/>
        </w:rPr>
        <w:t xml:space="preserve">4- </w:t>
      </w:r>
      <w:proofErr w:type="spellStart"/>
      <w:r w:rsidRPr="00C6619E">
        <w:rPr>
          <w:rFonts w:ascii="Times New Roman" w:hAnsi="Times New Roman"/>
          <w:b/>
          <w:lang w:val="es-ES"/>
        </w:rPr>
        <w:t>Geneviève</w:t>
      </w:r>
      <w:proofErr w:type="spellEnd"/>
      <w:r w:rsidRPr="00C6619E">
        <w:rPr>
          <w:rFonts w:ascii="Times New Roman" w:hAnsi="Times New Roman"/>
          <w:b/>
          <w:lang w:val="es-ES"/>
        </w:rPr>
        <w:t xml:space="preserve"> FABRY</w:t>
      </w:r>
    </w:p>
    <w:p w:rsidR="00C6619E" w:rsidP="00C6619E" w:rsidRDefault="00C6619E" w14:paraId="46AEDFE9" w14:textId="77777777">
      <w:pPr>
        <w:rPr>
          <w:rFonts w:ascii="Times New Roman" w:hAnsi="Times New Roman"/>
          <w:lang w:val="es-ES"/>
        </w:rPr>
      </w:pPr>
    </w:p>
    <w:p w:rsidRPr="00C6619E" w:rsidR="00C6619E" w:rsidP="00C6619E" w:rsidRDefault="00C6619E" w14:paraId="3DD0DAF7" w14:textId="77777777">
      <w:pPr>
        <w:rPr>
          <w:rFonts w:ascii="Times New Roman" w:hAnsi="Times New Roman"/>
          <w:lang w:val="es-ES"/>
        </w:rPr>
      </w:pPr>
      <w:r w:rsidRPr="00C6619E">
        <w:rPr>
          <w:rFonts w:ascii="Times New Roman" w:hAnsi="Times New Roman"/>
          <w:lang w:val="es-ES"/>
        </w:rPr>
        <w:t xml:space="preserve">Universidad de </w:t>
      </w:r>
      <w:proofErr w:type="spellStart"/>
      <w:r w:rsidRPr="00C6619E">
        <w:rPr>
          <w:rFonts w:ascii="Times New Roman" w:hAnsi="Times New Roman"/>
          <w:lang w:val="es-ES"/>
        </w:rPr>
        <w:t>Louvain</w:t>
      </w:r>
      <w:proofErr w:type="spellEnd"/>
    </w:p>
    <w:p w:rsidRPr="00C6619E" w:rsidR="00C6619E" w:rsidP="00C6619E" w:rsidRDefault="00C6619E" w14:paraId="106D1019" w14:textId="77777777">
      <w:pPr>
        <w:rPr>
          <w:rFonts w:ascii="Times New Roman" w:hAnsi="Times New Roman"/>
          <w:lang w:val="es-ES"/>
        </w:rPr>
      </w:pPr>
    </w:p>
    <w:p w:rsidRPr="00C6619E" w:rsidR="00C6619E" w:rsidP="00FD5A74" w:rsidRDefault="00C6619E" w14:paraId="430F44CE" w14:textId="316E24D5">
      <w:pPr>
        <w:rPr>
          <w:rFonts w:ascii="Times New Roman" w:hAnsi="Times New Roman"/>
          <w:b w:val="1"/>
          <w:bCs w:val="1"/>
          <w:lang w:val="es-419"/>
        </w:rPr>
      </w:pPr>
      <w:r w:rsidRPr="00FD5A74" w:rsidR="00C6619E">
        <w:rPr>
          <w:rFonts w:ascii="Times New Roman" w:hAnsi="Times New Roman"/>
          <w:lang w:val="es-419"/>
        </w:rPr>
        <w:t>Título:</w:t>
      </w:r>
      <w:r w:rsidRPr="00FD5A74" w:rsidR="00C6619E">
        <w:rPr>
          <w:rFonts w:ascii="Times New Roman" w:hAnsi="Times New Roman"/>
          <w:b w:val="1"/>
          <w:bCs w:val="1"/>
          <w:i w:val="1"/>
          <w:iCs w:val="1"/>
          <w:lang w:val="es-419"/>
        </w:rPr>
        <w:t xml:space="preserve"> </w:t>
      </w:r>
      <w:r w:rsidRPr="00FD5A74" w:rsidR="00C6619E">
        <w:rPr>
          <w:rFonts w:ascii="Times New Roman" w:hAnsi="Times New Roman"/>
          <w:b w:val="1"/>
          <w:bCs w:val="1"/>
          <w:lang w:val="es-419"/>
        </w:rPr>
        <w:t xml:space="preserve">“Imágenes </w:t>
      </w:r>
      <w:r w:rsidRPr="00FD5A74" w:rsidR="00C6619E">
        <w:rPr>
          <w:rFonts w:ascii="Times New Roman" w:hAnsi="Times New Roman"/>
          <w:b w:val="1"/>
          <w:bCs w:val="1"/>
          <w:lang w:val="es-419"/>
        </w:rPr>
        <w:t>crísticas</w:t>
      </w:r>
      <w:r w:rsidRPr="00FD5A74" w:rsidR="00C6619E">
        <w:rPr>
          <w:rFonts w:ascii="Times New Roman" w:hAnsi="Times New Roman"/>
          <w:b w:val="1"/>
          <w:bCs w:val="1"/>
          <w:lang w:val="es-419"/>
        </w:rPr>
        <w:t xml:space="preserve"> e internalización de la violencia</w:t>
      </w:r>
      <w:r w:rsidRPr="00FD5A74" w:rsidR="00C6619E">
        <w:rPr>
          <w:rFonts w:ascii="Times New Roman" w:hAnsi="Times New Roman"/>
          <w:b w:val="1"/>
          <w:bCs w:val="1"/>
          <w:lang w:val="es-419"/>
        </w:rPr>
        <w:t>”</w:t>
      </w:r>
    </w:p>
    <w:p w:rsidR="00C6619E" w:rsidP="00C6619E" w:rsidRDefault="00C6619E" w14:paraId="3BCF75BE" w14:textId="77777777">
      <w:pPr>
        <w:rPr>
          <w:rFonts w:ascii="Times New Roman" w:hAnsi="Times New Roman"/>
          <w:lang w:val="es-419"/>
        </w:rPr>
      </w:pPr>
    </w:p>
    <w:p w:rsidRPr="00C6619E" w:rsidR="00C6619E" w:rsidP="00C6619E" w:rsidRDefault="00C6619E" w14:paraId="20E4CAE0" w14:textId="77777777">
      <w:pPr>
        <w:rPr>
          <w:rFonts w:ascii="Times New Roman" w:hAnsi="Times New Roman"/>
          <w:lang w:val="es-419"/>
        </w:rPr>
      </w:pPr>
      <w:r w:rsidRPr="00C6619E">
        <w:rPr>
          <w:rFonts w:ascii="Times New Roman" w:hAnsi="Times New Roman"/>
          <w:lang w:val="es-419"/>
        </w:rPr>
        <w:t xml:space="preserve">Propuesta: </w:t>
      </w:r>
    </w:p>
    <w:p w:rsidR="00C6619E" w:rsidP="00C6619E" w:rsidRDefault="00C6619E" w14:paraId="0447A67B" w14:textId="77777777">
      <w:pPr>
        <w:jc w:val="both"/>
        <w:rPr>
          <w:rFonts w:ascii="Times New Roman" w:hAnsi="Times New Roman"/>
          <w:lang w:val="es-419"/>
        </w:rPr>
      </w:pPr>
    </w:p>
    <w:p w:rsidRPr="00576E4F" w:rsidR="00C6619E" w:rsidP="00C6619E" w:rsidRDefault="00C6619E" w14:paraId="4BCA6B83" w14:textId="77777777">
      <w:pPr>
        <w:jc w:val="both"/>
        <w:rPr>
          <w:rFonts w:ascii="Times New Roman" w:hAnsi="Times New Roman"/>
          <w:lang w:val="es-419"/>
        </w:rPr>
      </w:pPr>
      <w:r w:rsidRPr="00BE7D12">
        <w:rPr>
          <w:rFonts w:ascii="Times New Roman" w:hAnsi="Times New Roman"/>
          <w:lang w:val="es-419"/>
        </w:rPr>
        <w:t xml:space="preserve">Esta ponencia </w:t>
      </w:r>
      <w:r>
        <w:rPr>
          <w:rFonts w:ascii="Times New Roman" w:hAnsi="Times New Roman"/>
          <w:lang w:val="es-419"/>
        </w:rPr>
        <w:t xml:space="preserve">propone una reflexión </w:t>
      </w:r>
      <w:r w:rsidRPr="00BE7D12">
        <w:rPr>
          <w:rFonts w:ascii="Times New Roman" w:hAnsi="Times New Roman"/>
          <w:lang w:val="es-419"/>
        </w:rPr>
        <w:t>sobre el nexo entre el imaginario barroco del Cristo sufriente y la internalización de la violencia colonial que tal imaginario ha podido provocar no solo en la cultura latinoamericana de los siglos XVII y XVIII, sino también en la literatura de los siglos XX y XXI. En un primer momento, intentaremos definir las coordenadas principales de tal imaginario a partir de los trabajos de Didi-</w:t>
      </w:r>
      <w:proofErr w:type="spellStart"/>
      <w:r w:rsidRPr="00BE7D12">
        <w:rPr>
          <w:rFonts w:ascii="Times New Roman" w:hAnsi="Times New Roman"/>
          <w:lang w:val="es-419"/>
        </w:rPr>
        <w:t>Huberman</w:t>
      </w:r>
      <w:proofErr w:type="spellEnd"/>
      <w:r w:rsidRPr="00BE7D12">
        <w:rPr>
          <w:rFonts w:ascii="Times New Roman" w:hAnsi="Times New Roman"/>
          <w:lang w:val="es-419"/>
        </w:rPr>
        <w:t xml:space="preserve"> (</w:t>
      </w:r>
      <w:r w:rsidRPr="00BE7D12">
        <w:rPr>
          <w:rFonts w:ascii="Times New Roman" w:hAnsi="Times New Roman"/>
          <w:i/>
          <w:lang w:val="es-419"/>
        </w:rPr>
        <w:t>La imagen abierta</w:t>
      </w:r>
      <w:r w:rsidRPr="00BE7D12">
        <w:rPr>
          <w:rFonts w:ascii="Times New Roman" w:hAnsi="Times New Roman"/>
          <w:lang w:val="es-419"/>
        </w:rPr>
        <w:t>), Parkinson Zamora (</w:t>
      </w:r>
      <w:r w:rsidRPr="00BE7D12">
        <w:rPr>
          <w:rFonts w:ascii="Times New Roman" w:hAnsi="Times New Roman"/>
          <w:i/>
          <w:lang w:val="es-419"/>
        </w:rPr>
        <w:t>La mirada exuberante</w:t>
      </w:r>
      <w:r w:rsidRPr="00BE7D12">
        <w:rPr>
          <w:rFonts w:ascii="Times New Roman" w:hAnsi="Times New Roman"/>
          <w:lang w:val="es-419"/>
        </w:rPr>
        <w:t>) y Prado (</w:t>
      </w:r>
      <w:r w:rsidRPr="00A62B15">
        <w:rPr>
          <w:rFonts w:ascii="Times New Roman" w:hAnsi="Times New Roman"/>
          <w:i/>
          <w:lang w:val="es-AR"/>
        </w:rPr>
        <w:t>Genealogía del monoteísmo</w:t>
      </w:r>
      <w:r>
        <w:rPr>
          <w:rFonts w:ascii="Times New Roman" w:hAnsi="Times New Roman"/>
          <w:lang w:val="es-AR"/>
        </w:rPr>
        <w:t>)</w:t>
      </w:r>
      <w:r w:rsidRPr="00A62B15">
        <w:rPr>
          <w:rFonts w:ascii="Times New Roman" w:hAnsi="Times New Roman"/>
          <w:lang w:val="es-AR"/>
        </w:rPr>
        <w:t>.</w:t>
      </w:r>
      <w:r>
        <w:rPr>
          <w:rFonts w:ascii="Times New Roman" w:hAnsi="Times New Roman"/>
          <w:lang w:val="es-AR"/>
        </w:rPr>
        <w:t xml:space="preserve"> </w:t>
      </w:r>
      <w:r w:rsidRPr="00BE7D12">
        <w:rPr>
          <w:rFonts w:ascii="Times New Roman" w:hAnsi="Times New Roman"/>
          <w:lang w:val="es-419"/>
        </w:rPr>
        <w:t xml:space="preserve">En un segundo momento, intentaremos mostrar cómo un pensamiento decolonial se hace camino en la cultura latinoamericana para desarmar «la religión como dispositivo colonial» (subtítulo del libro de Prado) al destacar dos líneas de pensamiento útiles para abordar las ficciones que siguen haciendo hincapié en la figura </w:t>
      </w:r>
      <w:proofErr w:type="spellStart"/>
      <w:r w:rsidRPr="00BE7D12">
        <w:rPr>
          <w:rFonts w:ascii="Times New Roman" w:hAnsi="Times New Roman"/>
          <w:lang w:val="es-419"/>
        </w:rPr>
        <w:t>crística</w:t>
      </w:r>
      <w:proofErr w:type="spellEnd"/>
      <w:r w:rsidRPr="00BE7D12">
        <w:rPr>
          <w:rFonts w:ascii="Times New Roman" w:hAnsi="Times New Roman"/>
          <w:lang w:val="es-419"/>
        </w:rPr>
        <w:t xml:space="preserve"> doliente. La primera línea se relaciona con la cristología de la liberaci</w:t>
      </w:r>
      <w:bookmarkStart w:name="_Hlk17966430" w:id="1"/>
      <w:r w:rsidRPr="00BE7D12">
        <w:rPr>
          <w:rFonts w:ascii="Times New Roman" w:hAnsi="Times New Roman"/>
          <w:lang w:val="es-419"/>
        </w:rPr>
        <w:t>ó</w:t>
      </w:r>
      <w:bookmarkEnd w:id="1"/>
      <w:r w:rsidRPr="00BE7D12">
        <w:rPr>
          <w:rFonts w:ascii="Times New Roman" w:hAnsi="Times New Roman"/>
          <w:lang w:val="es-419"/>
        </w:rPr>
        <w:t xml:space="preserve">n, especialmente el pensamiento de Jon Sobrino, y realza la desvinculación evangélica entre la construcción del poder y la revelación de lo divino (en oposición con lo religioso). </w:t>
      </w:r>
      <w:r w:rsidRPr="00576E4F">
        <w:rPr>
          <w:rFonts w:ascii="Times New Roman" w:hAnsi="Times New Roman"/>
          <w:lang w:val="es-419"/>
        </w:rPr>
        <w:t>La segunda l</w:t>
      </w:r>
      <w:bookmarkStart w:name="_Hlk17966461" w:id="2"/>
      <w:r w:rsidRPr="00576E4F">
        <w:rPr>
          <w:rFonts w:ascii="Times New Roman" w:hAnsi="Times New Roman"/>
          <w:lang w:val="es-419"/>
        </w:rPr>
        <w:t>í</w:t>
      </w:r>
      <w:bookmarkEnd w:id="2"/>
      <w:r w:rsidRPr="00576E4F">
        <w:rPr>
          <w:rFonts w:ascii="Times New Roman" w:hAnsi="Times New Roman"/>
          <w:lang w:val="es-419"/>
        </w:rPr>
        <w:t>nea de pensamiento asume otras premisas filosóficas y se sitúa en la estela del pensamiento de la desconstrucción. La filosofía de Jean-Luc Nancy (</w:t>
      </w:r>
      <w:r w:rsidRPr="00576E4F">
        <w:rPr>
          <w:rFonts w:ascii="Times New Roman" w:hAnsi="Times New Roman"/>
          <w:i/>
          <w:lang w:val="es-419"/>
        </w:rPr>
        <w:t xml:space="preserve">La </w:t>
      </w:r>
      <w:proofErr w:type="spellStart"/>
      <w:r w:rsidRPr="00576E4F">
        <w:rPr>
          <w:rFonts w:ascii="Times New Roman" w:hAnsi="Times New Roman"/>
          <w:i/>
          <w:lang w:val="es-419"/>
        </w:rPr>
        <w:t>déclosion</w:t>
      </w:r>
      <w:proofErr w:type="spellEnd"/>
      <w:r w:rsidRPr="00576E4F">
        <w:rPr>
          <w:rFonts w:ascii="Times New Roman" w:hAnsi="Times New Roman"/>
          <w:lang w:val="es-419"/>
        </w:rPr>
        <w:t xml:space="preserve">, </w:t>
      </w:r>
      <w:proofErr w:type="spellStart"/>
      <w:r w:rsidRPr="00576E4F">
        <w:rPr>
          <w:rFonts w:ascii="Times New Roman" w:hAnsi="Times New Roman"/>
          <w:i/>
          <w:lang w:val="es-419"/>
        </w:rPr>
        <w:t>L’adoration</w:t>
      </w:r>
      <w:proofErr w:type="spellEnd"/>
      <w:r w:rsidRPr="00576E4F">
        <w:rPr>
          <w:rFonts w:ascii="Times New Roman" w:hAnsi="Times New Roman"/>
          <w:lang w:val="es-419"/>
        </w:rPr>
        <w:t>) puede resultar útil para leer la permanencia de ciertos fragmentos del edificio teológico cristiano (especialmente la encarnación y la resurrección) en la literatura contemporánea.</w:t>
      </w:r>
    </w:p>
    <w:p w:rsidR="00C6619E" w:rsidP="00C6619E" w:rsidRDefault="00C6619E" w14:paraId="2F8B6E96" w14:textId="77777777">
      <w:pPr>
        <w:jc w:val="both"/>
        <w:rPr>
          <w:rFonts w:ascii="Times New Roman" w:hAnsi="Times New Roman"/>
          <w:color w:val="FF0000"/>
          <w:szCs w:val="24"/>
          <w:lang w:val="es-ES"/>
        </w:rPr>
      </w:pPr>
    </w:p>
    <w:p w:rsidRPr="006C1175" w:rsidR="00C6619E" w:rsidRDefault="00C6619E" w14:paraId="131E3CD9" w14:textId="77777777">
      <w:pPr>
        <w:rPr>
          <w:lang w:val="es-ES"/>
        </w:rPr>
      </w:pPr>
    </w:p>
    <w:sectPr w:rsidRPr="006C1175" w:rsidR="00C6619E">
      <w:headerReference w:type="default" r:id="rId9"/>
      <w:pgSz w:w="12240" w:h="15840" w:orient="portrait"/>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C1175" w14:paraId="67CCC088" w14:textId="77777777">
      <w:r>
        <w:separator/>
      </w:r>
    </w:p>
  </w:endnote>
  <w:endnote w:type="continuationSeparator" w:id="0">
    <w:p w:rsidR="00000000" w:rsidRDefault="006C1175" w14:paraId="0E8FBF9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C1175" w14:paraId="119ED2F8" w14:textId="77777777">
      <w:r>
        <w:separator/>
      </w:r>
    </w:p>
  </w:footnote>
  <w:footnote w:type="continuationSeparator" w:id="0">
    <w:p w:rsidR="00000000" w:rsidRDefault="006C1175" w14:paraId="4AA491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825" w:rsidRDefault="006D7488" w14:paraId="006C7A5C" w14:textId="77777777">
    <w:pPr>
      <w:pStyle w:val="En-tte"/>
    </w:pPr>
    <w:r>
      <w:t xml:space="preserve">  </w:t>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19E"/>
    <w:rsid w:val="006C1175"/>
    <w:rsid w:val="006D7488"/>
    <w:rsid w:val="00C6619E"/>
    <w:rsid w:val="00FD5A74"/>
    <w:rsid w:val="2A6202FF"/>
    <w:rsid w:val="438DB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B818"/>
  <w15:chartTrackingRefBased/>
  <w15:docId w15:val="{B40602A4-515B-4598-B7A1-1E0F8F337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6619E"/>
    <w:pPr>
      <w:spacing w:after="0" w:line="240" w:lineRule="auto"/>
    </w:pPr>
    <w:rPr>
      <w:rFonts w:ascii="New York" w:hAnsi="New York" w:eastAsia="Times New Roman" w:cs="Times New Roman"/>
      <w:sz w:val="24"/>
      <w:szCs w:val="20"/>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rsid w:val="00C6619E"/>
    <w:pPr>
      <w:tabs>
        <w:tab w:val="center" w:pos="4320"/>
        <w:tab w:val="right" w:pos="8640"/>
      </w:tabs>
    </w:pPr>
  </w:style>
  <w:style w:type="character" w:styleId="En-tteCar" w:customStyle="1">
    <w:name w:val="En-tête Car"/>
    <w:basedOn w:val="Policepardfaut"/>
    <w:link w:val="En-tte"/>
    <w:rsid w:val="00C6619E"/>
    <w:rPr>
      <w:rFonts w:ascii="New York" w:hAnsi="New York" w:eastAsia="Times New Roman" w:cs="Times New Roman"/>
      <w:sz w:val="24"/>
      <w:szCs w:val="20"/>
      <w:lang w:val="en-US"/>
    </w:rPr>
  </w:style>
  <w:style w:type="paragraph" w:styleId="NormalWeb">
    <w:name w:val="Normal (Web)"/>
    <w:basedOn w:val="Normal"/>
    <w:uiPriority w:val="99"/>
    <w:rsid w:val="00C6619E"/>
    <w:pPr>
      <w:spacing w:before="100" w:beforeAutospacing="1" w:after="100" w:afterAutospacing="1"/>
    </w:pPr>
    <w:rPr>
      <w:rFonts w:ascii="Times" w:hAnsi="Times" w:eastAsia="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B35A0C-7FA5-42B9-A18D-04C3547F5042}">
  <ds:schemaRefs>
    <ds:schemaRef ds:uri="http://schemas.openxmlformats.org/package/2006/metadata/core-properties"/>
    <ds:schemaRef ds:uri="http://purl.org/dc/terms/"/>
    <ds:schemaRef ds:uri="http://schemas.microsoft.com/office/infopath/2007/PartnerControls"/>
    <ds:schemaRef ds:uri="ddf49191-4a0d-4f37-8b3e-014c99b2be18"/>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23E82EAE-F106-409E-BFFB-347663D77362}">
  <ds:schemaRefs>
    <ds:schemaRef ds:uri="http://schemas.microsoft.com/sharepoint/v3/contenttype/forms"/>
  </ds:schemaRefs>
</ds:datastoreItem>
</file>

<file path=customXml/itemProps3.xml><?xml version="1.0" encoding="utf-8"?>
<ds:datastoreItem xmlns:ds="http://schemas.openxmlformats.org/officeDocument/2006/customXml" ds:itemID="{A3D11522-77A2-424C-9D89-8FA8A3ECD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5</revision>
  <dcterms:created xsi:type="dcterms:W3CDTF">2021-05-26T20:47:00.0000000Z</dcterms:created>
  <dcterms:modified xsi:type="dcterms:W3CDTF">2021-05-31T16:48:52.9546662Z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