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A06128" w:rsidP="00A06128" w:rsidRDefault="00A06128" w14:paraId="38DA2E1A"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rsidRPr="00813662" w:rsidR="00A06128" w:rsidP="00A06128" w:rsidRDefault="00A06128" w14:paraId="25277297"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rsidRPr="00813662" w:rsidR="00A06128" w:rsidP="00A06128" w:rsidRDefault="00A06128" w14:paraId="7563C7D8"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rsidRPr="00813662" w:rsidR="00A06128" w:rsidP="00A06128" w:rsidRDefault="00A06128" w14:paraId="0FF6A421"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rsidRPr="00813662" w:rsidR="00A06128" w:rsidP="00A06128" w:rsidRDefault="00A06128" w14:paraId="040346CE" w14:textId="77777777">
      <w:pPr>
        <w:rPr>
          <w:rFonts w:ascii="Times New Roman" w:hAnsi="Times New Roman"/>
          <w:lang w:val="es-ES_tradnl"/>
        </w:rPr>
      </w:pPr>
    </w:p>
    <w:p w:rsidRPr="00A06128" w:rsidR="00A06128" w:rsidP="00A06128" w:rsidRDefault="00A06128" w14:paraId="0CC004E3" w14:textId="77777777">
      <w:pPr>
        <w:spacing w:line="240" w:lineRule="auto"/>
        <w:jc w:val="both"/>
        <w:rPr>
          <w:rFonts w:ascii="Times New Roman" w:hAnsi="Times New Roman" w:cs="Times New Roman"/>
          <w:b/>
          <w:color w:val="auto"/>
          <w:sz w:val="24"/>
          <w:szCs w:val="24"/>
          <w:lang w:val="es-ES_tradnl"/>
        </w:rPr>
      </w:pPr>
    </w:p>
    <w:p w:rsidRPr="00A06128" w:rsidR="00A06128" w:rsidP="00A06128" w:rsidRDefault="00A06128" w14:paraId="3D8826D9" w14:textId="77777777">
      <w:pPr>
        <w:spacing w:line="240" w:lineRule="auto"/>
        <w:jc w:val="both"/>
        <w:rPr>
          <w:rFonts w:ascii="Times New Roman" w:hAnsi="Times New Roman" w:cs="Times New Roman"/>
          <w:b/>
          <w:color w:val="auto"/>
          <w:sz w:val="24"/>
          <w:szCs w:val="24"/>
          <w:lang w:val="es-ES"/>
        </w:rPr>
      </w:pPr>
      <w:r w:rsidRPr="00A06128">
        <w:rPr>
          <w:rFonts w:ascii="Times New Roman" w:hAnsi="Times New Roman" w:cs="Times New Roman"/>
          <w:b/>
          <w:color w:val="auto"/>
          <w:sz w:val="24"/>
          <w:szCs w:val="24"/>
          <w:lang w:val="es-ES"/>
        </w:rPr>
        <w:t>Claudia JÜNKE</w:t>
      </w:r>
    </w:p>
    <w:p w:rsidR="00A06128" w:rsidP="00A06128" w:rsidRDefault="00A06128" w14:paraId="2B471705" w14:textId="77777777">
      <w:pPr>
        <w:spacing w:line="240" w:lineRule="auto"/>
        <w:jc w:val="both"/>
        <w:rPr>
          <w:rFonts w:ascii="Times New Roman" w:hAnsi="Times New Roman" w:cs="Times New Roman"/>
          <w:color w:val="auto"/>
          <w:sz w:val="24"/>
          <w:szCs w:val="24"/>
          <w:lang w:val="es-ES"/>
        </w:rPr>
      </w:pPr>
    </w:p>
    <w:p w:rsidRPr="00C01A0E" w:rsidR="00A06128" w:rsidP="00A06128" w:rsidRDefault="00A06128" w14:paraId="614AD988"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Universidad de Innsbruck</w:t>
      </w:r>
    </w:p>
    <w:p w:rsidRPr="00C01A0E" w:rsidR="00A06128" w:rsidP="00A06128" w:rsidRDefault="00A06128" w14:paraId="0F881186" w14:textId="77777777">
      <w:pPr>
        <w:spacing w:line="240" w:lineRule="auto"/>
        <w:jc w:val="both"/>
        <w:rPr>
          <w:rFonts w:ascii="Times New Roman" w:hAnsi="Times New Roman" w:cs="Times New Roman"/>
          <w:color w:val="auto"/>
          <w:sz w:val="24"/>
          <w:szCs w:val="24"/>
          <w:lang w:val="es-ES"/>
        </w:rPr>
      </w:pPr>
    </w:p>
    <w:p w:rsidRPr="00C01A0E" w:rsidR="00A06128" w:rsidP="00A06128" w:rsidRDefault="00A06128" w14:paraId="7214F05B"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 xml:space="preserve">Título: </w:t>
      </w:r>
      <w:r w:rsidRPr="00C01A0E">
        <w:rPr>
          <w:rFonts w:ascii="Times New Roman" w:hAnsi="Times New Roman" w:cs="Times New Roman"/>
          <w:b/>
          <w:color w:val="auto"/>
          <w:sz w:val="24"/>
          <w:szCs w:val="24"/>
          <w:lang w:val="es-ES"/>
        </w:rPr>
        <w:t xml:space="preserve">“El exilio argentino de la segunda generación en perspectiva transcultural: </w:t>
      </w:r>
      <w:proofErr w:type="spellStart"/>
      <w:r w:rsidRPr="00C01A0E">
        <w:rPr>
          <w:rFonts w:ascii="Times New Roman" w:hAnsi="Times New Roman" w:cs="Times New Roman"/>
          <w:b/>
          <w:i/>
          <w:iCs/>
          <w:color w:val="auto"/>
          <w:sz w:val="24"/>
          <w:szCs w:val="24"/>
          <w:lang w:val="es-ES"/>
        </w:rPr>
        <w:t>Manèges</w:t>
      </w:r>
      <w:proofErr w:type="spellEnd"/>
      <w:r w:rsidRPr="00C01A0E">
        <w:rPr>
          <w:rFonts w:ascii="Times New Roman" w:hAnsi="Times New Roman" w:cs="Times New Roman"/>
          <w:b/>
          <w:color w:val="auto"/>
          <w:sz w:val="24"/>
          <w:szCs w:val="24"/>
          <w:lang w:val="es-ES"/>
        </w:rPr>
        <w:t xml:space="preserve">, </w:t>
      </w:r>
      <w:r w:rsidRPr="00C01A0E">
        <w:rPr>
          <w:rFonts w:ascii="Times New Roman" w:hAnsi="Times New Roman" w:cs="Times New Roman"/>
          <w:b/>
          <w:i/>
          <w:iCs/>
          <w:color w:val="auto"/>
          <w:sz w:val="24"/>
          <w:szCs w:val="24"/>
          <w:lang w:val="es-ES"/>
        </w:rPr>
        <w:t xml:space="preserve">Le </w:t>
      </w:r>
      <w:proofErr w:type="spellStart"/>
      <w:r w:rsidRPr="00C01A0E">
        <w:rPr>
          <w:rFonts w:ascii="Times New Roman" w:hAnsi="Times New Roman" w:cs="Times New Roman"/>
          <w:b/>
          <w:i/>
          <w:iCs/>
          <w:color w:val="auto"/>
          <w:sz w:val="24"/>
          <w:szCs w:val="24"/>
          <w:lang w:val="es-ES"/>
        </w:rPr>
        <w:t>bleu</w:t>
      </w:r>
      <w:proofErr w:type="spellEnd"/>
      <w:r w:rsidRPr="00C01A0E">
        <w:rPr>
          <w:rFonts w:ascii="Times New Roman" w:hAnsi="Times New Roman" w:cs="Times New Roman"/>
          <w:b/>
          <w:i/>
          <w:iCs/>
          <w:color w:val="auto"/>
          <w:sz w:val="24"/>
          <w:szCs w:val="24"/>
          <w:lang w:val="es-ES"/>
        </w:rPr>
        <w:t xml:space="preserve"> des </w:t>
      </w:r>
      <w:proofErr w:type="spellStart"/>
      <w:r w:rsidRPr="00C01A0E">
        <w:rPr>
          <w:rFonts w:ascii="Times New Roman" w:hAnsi="Times New Roman" w:cs="Times New Roman"/>
          <w:b/>
          <w:i/>
          <w:iCs/>
          <w:color w:val="auto"/>
          <w:sz w:val="24"/>
          <w:szCs w:val="24"/>
          <w:lang w:val="es-ES"/>
        </w:rPr>
        <w:t>abeilles</w:t>
      </w:r>
      <w:proofErr w:type="spellEnd"/>
      <w:r w:rsidRPr="00C01A0E">
        <w:rPr>
          <w:rFonts w:ascii="Times New Roman" w:hAnsi="Times New Roman" w:cs="Times New Roman"/>
          <w:b/>
          <w:i/>
          <w:iCs/>
          <w:color w:val="auto"/>
          <w:sz w:val="24"/>
          <w:szCs w:val="24"/>
          <w:lang w:val="es-ES"/>
        </w:rPr>
        <w:t xml:space="preserve"> </w:t>
      </w:r>
      <w:r w:rsidRPr="00C01A0E">
        <w:rPr>
          <w:rFonts w:ascii="Times New Roman" w:hAnsi="Times New Roman" w:cs="Times New Roman"/>
          <w:b/>
          <w:color w:val="auto"/>
          <w:sz w:val="24"/>
          <w:szCs w:val="24"/>
          <w:lang w:val="es-ES"/>
        </w:rPr>
        <w:t xml:space="preserve">y </w:t>
      </w:r>
      <w:r w:rsidRPr="00C01A0E">
        <w:rPr>
          <w:rFonts w:ascii="Times New Roman" w:hAnsi="Times New Roman" w:cs="Times New Roman"/>
          <w:b/>
          <w:i/>
          <w:iCs/>
          <w:color w:val="auto"/>
          <w:sz w:val="24"/>
          <w:szCs w:val="24"/>
          <w:lang w:val="es-ES"/>
        </w:rPr>
        <w:t xml:space="preserve">La </w:t>
      </w:r>
      <w:proofErr w:type="spellStart"/>
      <w:r w:rsidRPr="00C01A0E">
        <w:rPr>
          <w:rFonts w:ascii="Times New Roman" w:hAnsi="Times New Roman" w:cs="Times New Roman"/>
          <w:b/>
          <w:i/>
          <w:iCs/>
          <w:color w:val="auto"/>
          <w:sz w:val="24"/>
          <w:szCs w:val="24"/>
          <w:lang w:val="es-ES"/>
        </w:rPr>
        <w:t>danse</w:t>
      </w:r>
      <w:proofErr w:type="spellEnd"/>
      <w:r w:rsidRPr="00C01A0E">
        <w:rPr>
          <w:rFonts w:ascii="Times New Roman" w:hAnsi="Times New Roman" w:cs="Times New Roman"/>
          <w:b/>
          <w:i/>
          <w:iCs/>
          <w:color w:val="auto"/>
          <w:sz w:val="24"/>
          <w:szCs w:val="24"/>
          <w:lang w:val="es-ES"/>
        </w:rPr>
        <w:t xml:space="preserve"> de </w:t>
      </w:r>
      <w:proofErr w:type="spellStart"/>
      <w:r w:rsidRPr="00C01A0E">
        <w:rPr>
          <w:rFonts w:ascii="Times New Roman" w:hAnsi="Times New Roman" w:cs="Times New Roman"/>
          <w:b/>
          <w:i/>
          <w:iCs/>
          <w:color w:val="auto"/>
          <w:sz w:val="24"/>
          <w:szCs w:val="24"/>
          <w:lang w:val="es-ES"/>
        </w:rPr>
        <w:t>l’araignée</w:t>
      </w:r>
      <w:proofErr w:type="spellEnd"/>
      <w:r w:rsidRPr="00C01A0E">
        <w:rPr>
          <w:rFonts w:ascii="Times New Roman" w:hAnsi="Times New Roman" w:cs="Times New Roman"/>
          <w:b/>
          <w:color w:val="auto"/>
          <w:sz w:val="24"/>
          <w:szCs w:val="24"/>
          <w:lang w:val="es-ES"/>
        </w:rPr>
        <w:t xml:space="preserve"> de Laura Alcoba”</w:t>
      </w:r>
      <w:r w:rsidRPr="00C01A0E">
        <w:rPr>
          <w:rFonts w:ascii="Times New Roman" w:hAnsi="Times New Roman" w:cs="Times New Roman"/>
          <w:color w:val="auto"/>
          <w:sz w:val="24"/>
          <w:szCs w:val="24"/>
          <w:lang w:val="es-ES"/>
        </w:rPr>
        <w:t xml:space="preserve"> </w:t>
      </w:r>
    </w:p>
    <w:p w:rsidRPr="00C01A0E" w:rsidR="00A06128" w:rsidP="00A06128" w:rsidRDefault="00A06128" w14:paraId="2855D97B" w14:textId="77777777">
      <w:pPr>
        <w:spacing w:line="240" w:lineRule="auto"/>
        <w:jc w:val="both"/>
        <w:rPr>
          <w:rFonts w:ascii="Times New Roman" w:hAnsi="Times New Roman" w:cs="Times New Roman"/>
          <w:color w:val="auto"/>
          <w:sz w:val="24"/>
          <w:szCs w:val="24"/>
          <w:lang w:val="es-ES"/>
        </w:rPr>
      </w:pPr>
    </w:p>
    <w:p w:rsidRPr="00C01A0E" w:rsidR="00A06128" w:rsidP="00A06128" w:rsidRDefault="00A06128" w14:paraId="0085186F" w14:textId="77777777">
      <w:pPr>
        <w:spacing w:line="240" w:lineRule="auto"/>
        <w:jc w:val="both"/>
        <w:rPr>
          <w:rFonts w:ascii="Times New Roman" w:hAnsi="Times New Roman" w:cs="Times New Roman"/>
          <w:color w:val="auto"/>
          <w:sz w:val="24"/>
          <w:szCs w:val="24"/>
          <w:lang w:val="es-ES"/>
        </w:rPr>
      </w:pPr>
      <w:r w:rsidRPr="00C01A0E">
        <w:rPr>
          <w:rFonts w:ascii="Times New Roman" w:hAnsi="Times New Roman" w:cs="Times New Roman"/>
          <w:color w:val="auto"/>
          <w:sz w:val="24"/>
          <w:szCs w:val="24"/>
          <w:lang w:val="es-ES"/>
        </w:rPr>
        <w:t xml:space="preserve">Propuesta: </w:t>
      </w:r>
    </w:p>
    <w:p w:rsidRPr="00C01A0E" w:rsidR="00A06128" w:rsidP="00A06128" w:rsidRDefault="00A06128" w14:paraId="0D06F826" w14:textId="77777777">
      <w:pPr>
        <w:spacing w:line="240" w:lineRule="auto"/>
        <w:jc w:val="both"/>
        <w:rPr>
          <w:rFonts w:ascii="Times New Roman" w:hAnsi="Times New Roman" w:cs="Times New Roman"/>
          <w:color w:val="auto"/>
          <w:sz w:val="24"/>
          <w:szCs w:val="24"/>
          <w:lang w:val="es-ES"/>
        </w:rPr>
      </w:pPr>
    </w:p>
    <w:p w:rsidRPr="00C01A0E" w:rsidR="00A06128" w:rsidP="00A06128" w:rsidRDefault="00A06128" w14:paraId="5F6A8885" w14:textId="77777777">
      <w:pPr>
        <w:jc w:val="both"/>
        <w:rPr>
          <w:rFonts w:ascii="Times New Roman" w:hAnsi="Times New Roman"/>
          <w:color w:val="auto"/>
          <w:sz w:val="24"/>
          <w:szCs w:val="24"/>
          <w:lang w:val="es-ES"/>
        </w:rPr>
      </w:pPr>
      <w:r w:rsidRPr="00C01A0E">
        <w:rPr>
          <w:rFonts w:ascii="Times New Roman" w:hAnsi="Times New Roman"/>
          <w:color w:val="auto"/>
          <w:sz w:val="24"/>
          <w:szCs w:val="24"/>
          <w:lang w:val="es-ES"/>
        </w:rPr>
        <w:t xml:space="preserve">Mi ponencia examina la trilogía </w:t>
      </w:r>
      <w:proofErr w:type="spellStart"/>
      <w:r w:rsidRPr="00C01A0E">
        <w:rPr>
          <w:rFonts w:ascii="Times New Roman" w:hAnsi="Times New Roman"/>
          <w:color w:val="auto"/>
          <w:sz w:val="24"/>
          <w:szCs w:val="24"/>
          <w:lang w:val="es-ES"/>
        </w:rPr>
        <w:t>autoficcional</w:t>
      </w:r>
      <w:proofErr w:type="spellEnd"/>
      <w:r w:rsidRPr="00C01A0E">
        <w:rPr>
          <w:rFonts w:ascii="Times New Roman" w:hAnsi="Times New Roman"/>
          <w:color w:val="auto"/>
          <w:sz w:val="24"/>
          <w:szCs w:val="24"/>
          <w:lang w:val="es-ES"/>
        </w:rPr>
        <w:t xml:space="preserve"> de Laura Alcoba – </w:t>
      </w:r>
      <w:proofErr w:type="spellStart"/>
      <w:r w:rsidRPr="00C01A0E">
        <w:rPr>
          <w:rFonts w:ascii="Times New Roman" w:hAnsi="Times New Roman"/>
          <w:i/>
          <w:color w:val="auto"/>
          <w:sz w:val="24"/>
          <w:szCs w:val="24"/>
          <w:lang w:val="es-ES"/>
        </w:rPr>
        <w:t>Manèges</w:t>
      </w:r>
      <w:proofErr w:type="spellEnd"/>
      <w:r w:rsidRPr="00C01A0E">
        <w:rPr>
          <w:rFonts w:ascii="Times New Roman" w:hAnsi="Times New Roman"/>
          <w:color w:val="auto"/>
          <w:sz w:val="24"/>
          <w:szCs w:val="24"/>
          <w:lang w:val="es-ES"/>
        </w:rPr>
        <w:t xml:space="preserve"> (2007), </w:t>
      </w:r>
      <w:r w:rsidRPr="00C01A0E">
        <w:rPr>
          <w:rFonts w:ascii="Times New Roman" w:hAnsi="Times New Roman"/>
          <w:i/>
          <w:color w:val="auto"/>
          <w:sz w:val="24"/>
          <w:szCs w:val="24"/>
          <w:lang w:val="es-ES"/>
        </w:rPr>
        <w:t xml:space="preserve">Le </w:t>
      </w:r>
      <w:proofErr w:type="spellStart"/>
      <w:r w:rsidRPr="00C01A0E">
        <w:rPr>
          <w:rFonts w:ascii="Times New Roman" w:hAnsi="Times New Roman"/>
          <w:i/>
          <w:color w:val="auto"/>
          <w:sz w:val="24"/>
          <w:szCs w:val="24"/>
          <w:lang w:val="es-ES"/>
        </w:rPr>
        <w:t>bleu</w:t>
      </w:r>
      <w:proofErr w:type="spellEnd"/>
      <w:r w:rsidRPr="00C01A0E">
        <w:rPr>
          <w:rFonts w:ascii="Times New Roman" w:hAnsi="Times New Roman"/>
          <w:i/>
          <w:color w:val="auto"/>
          <w:sz w:val="24"/>
          <w:szCs w:val="24"/>
          <w:lang w:val="es-ES"/>
        </w:rPr>
        <w:t xml:space="preserve"> des </w:t>
      </w:r>
      <w:proofErr w:type="spellStart"/>
      <w:r w:rsidRPr="00C01A0E">
        <w:rPr>
          <w:rFonts w:ascii="Times New Roman" w:hAnsi="Times New Roman"/>
          <w:i/>
          <w:color w:val="auto"/>
          <w:sz w:val="24"/>
          <w:szCs w:val="24"/>
          <w:lang w:val="es-ES"/>
        </w:rPr>
        <w:t>abeilles</w:t>
      </w:r>
      <w:proofErr w:type="spellEnd"/>
      <w:r w:rsidRPr="00C01A0E">
        <w:rPr>
          <w:rFonts w:ascii="Times New Roman" w:hAnsi="Times New Roman"/>
          <w:color w:val="auto"/>
          <w:sz w:val="24"/>
          <w:szCs w:val="24"/>
          <w:lang w:val="es-ES"/>
        </w:rPr>
        <w:t xml:space="preserve"> (2013) y </w:t>
      </w:r>
      <w:r w:rsidRPr="00C01A0E">
        <w:rPr>
          <w:rFonts w:ascii="Times New Roman" w:hAnsi="Times New Roman"/>
          <w:i/>
          <w:color w:val="auto"/>
          <w:sz w:val="24"/>
          <w:szCs w:val="24"/>
          <w:lang w:val="es-ES"/>
        </w:rPr>
        <w:t xml:space="preserve">La </w:t>
      </w:r>
      <w:proofErr w:type="spellStart"/>
      <w:r w:rsidRPr="00C01A0E">
        <w:rPr>
          <w:rFonts w:ascii="Times New Roman" w:hAnsi="Times New Roman"/>
          <w:i/>
          <w:color w:val="auto"/>
          <w:sz w:val="24"/>
          <w:szCs w:val="24"/>
          <w:lang w:val="es-ES"/>
        </w:rPr>
        <w:t>danse</w:t>
      </w:r>
      <w:proofErr w:type="spellEnd"/>
      <w:r w:rsidRPr="00C01A0E">
        <w:rPr>
          <w:rFonts w:ascii="Times New Roman" w:hAnsi="Times New Roman"/>
          <w:i/>
          <w:color w:val="auto"/>
          <w:sz w:val="24"/>
          <w:szCs w:val="24"/>
          <w:lang w:val="es-ES"/>
        </w:rPr>
        <w:t xml:space="preserve"> de </w:t>
      </w:r>
      <w:proofErr w:type="spellStart"/>
      <w:r w:rsidRPr="00C01A0E">
        <w:rPr>
          <w:rFonts w:ascii="Times New Roman" w:hAnsi="Times New Roman"/>
          <w:i/>
          <w:color w:val="auto"/>
          <w:sz w:val="24"/>
          <w:szCs w:val="24"/>
          <w:lang w:val="es-ES"/>
        </w:rPr>
        <w:t>l’araignée</w:t>
      </w:r>
      <w:proofErr w:type="spellEnd"/>
      <w:r w:rsidRPr="00C01A0E">
        <w:rPr>
          <w:rFonts w:ascii="Times New Roman" w:hAnsi="Times New Roman"/>
          <w:color w:val="auto"/>
          <w:sz w:val="24"/>
          <w:szCs w:val="24"/>
          <w:lang w:val="es-ES"/>
        </w:rPr>
        <w:t xml:space="preserve"> (2017) – en perspectiva transcultural, enfocando el hecho de que la autora cuenta sus experiencias relacionadas con su vida argentina desde Francia y en lengua francesa. Hasta ahora, el carácter transcultural y multilingüe de su escritura ha sido relativamente poco estudiado, lo que se refleja en el hecho de que no pocos trabajos académicos investigan las versiones españolas de los textos como si fueran originales, invisibilizando así la voz del traductor y ocultando el proceso de traducción. ¿Qué significa reconstruir la experiencia argentina en un lenguaje literario francés? ¿En qué medida la autora reflexiona sobre asuntos de traducción relacionados con cuestiones de identidad y con la apropiación de un pasado doloroso? ¿Qué función tienen los textos originales y las traducciones españolas para la circulación transnacional de memorias de violencia política? Mientras que la mayoría de los estudios sitúan los textos de Alcoba en el marco de la literatura argentina y los leen como memorias argentinas en lengua francesa, quisiéramos desnaturalizar esta atribución nacional única y preguntar también por su lugar en el paisaje literario y los discursos de memoria franceses.</w:t>
      </w:r>
    </w:p>
    <w:p w:rsidR="00A06128" w:rsidRDefault="00A06128" w14:paraId="15043CEF" w14:textId="77777777">
      <w:pPr>
        <w:rPr>
          <w:lang w:val="es-ES"/>
        </w:rPr>
      </w:pPr>
    </w:p>
    <w:p w:rsidR="00732755" w:rsidP="00732755" w:rsidRDefault="00732755" w14:paraId="5EA25A1D"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 xml:space="preserve">Eje: </w:t>
      </w:r>
    </w:p>
    <w:p w:rsidRPr="00B82764" w:rsidR="00732755" w:rsidP="00732755" w:rsidRDefault="00732755" w14:paraId="1567FAB5" w14:textId="77777777">
      <w:pPr>
        <w:rPr>
          <w:rFonts w:ascii="Times New Roman" w:hAnsi="Times New Roman" w:cs="Times New Roman"/>
          <w:sz w:val="24"/>
          <w:szCs w:val="24"/>
          <w:lang w:val="es-AR"/>
        </w:rPr>
      </w:pPr>
    </w:p>
    <w:p w:rsidRPr="00B82764" w:rsidR="00732755" w:rsidP="00732755" w:rsidRDefault="00732755" w14:paraId="5109A202" w14:textId="77777777">
      <w:pPr>
        <w:rPr>
          <w:rFonts w:ascii="Times New Roman" w:hAnsi="Times New Roman" w:cs="Times New Roman"/>
          <w:b/>
          <w:sz w:val="24"/>
          <w:szCs w:val="24"/>
          <w:lang w:val="es-AR"/>
        </w:rPr>
      </w:pPr>
      <w:r w:rsidRPr="00B82764">
        <w:rPr>
          <w:rFonts w:ascii="Times New Roman" w:hAnsi="Times New Roman" w:cs="Times New Roman"/>
          <w:b/>
          <w:sz w:val="24"/>
          <w:szCs w:val="24"/>
          <w:lang w:val="es-AR"/>
        </w:rPr>
        <w:t>II) TRAMAS POLÍTICAS</w:t>
      </w:r>
    </w:p>
    <w:p w:rsidR="00732755" w:rsidP="00732755" w:rsidRDefault="00732755" w14:paraId="7998FFAA"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Políticas de la memoria</w:t>
      </w:r>
    </w:p>
    <w:p w:rsidR="00732755" w:rsidP="00732755" w:rsidRDefault="00732755" w14:paraId="7D950DE5" w14:textId="77777777">
      <w:pPr>
        <w:rPr>
          <w:rFonts w:ascii="Times New Roman" w:hAnsi="Times New Roman" w:cs="Times New Roman"/>
          <w:sz w:val="24"/>
          <w:szCs w:val="24"/>
          <w:lang w:val="es-AR"/>
        </w:rPr>
      </w:pPr>
    </w:p>
    <w:p w:rsidRPr="00B82764" w:rsidR="00732755" w:rsidP="4A2D3AA3" w:rsidRDefault="00732755" w14:paraId="5A43152F" w14:textId="3C6E98FE">
      <w:pPr>
        <w:rPr>
          <w:rFonts w:ascii="Times New Roman" w:hAnsi="Times New Roman" w:cs="Times New Roman"/>
          <w:b w:val="1"/>
          <w:bCs w:val="1"/>
          <w:i w:val="1"/>
          <w:iCs w:val="1"/>
          <w:sz w:val="24"/>
          <w:szCs w:val="24"/>
          <w:lang w:val="es-AR"/>
        </w:rPr>
      </w:pPr>
      <w:r w:rsidRPr="4A2D3AA3" w:rsidR="00732755">
        <w:rPr>
          <w:rFonts w:ascii="Times New Roman" w:hAnsi="Times New Roman" w:cs="Times New Roman"/>
          <w:b w:val="1"/>
          <w:bCs w:val="1"/>
          <w:sz w:val="24"/>
          <w:szCs w:val="24"/>
          <w:lang w:val="es-AR"/>
        </w:rPr>
        <w:t xml:space="preserve">MESA REDONDA: </w:t>
      </w:r>
      <w:r w:rsidRPr="4A2D3AA3" w:rsidR="00732755">
        <w:rPr>
          <w:rFonts w:ascii="Times New Roman" w:hAnsi="Times New Roman" w:cs="Times New Roman"/>
          <w:b w:val="1"/>
          <w:bCs w:val="1"/>
          <w:i w:val="1"/>
          <w:iCs w:val="1"/>
          <w:sz w:val="24"/>
          <w:szCs w:val="24"/>
          <w:lang w:val="es-AR"/>
        </w:rPr>
        <w:t>El exilio en la segunda generación del Cono Sur: debates teóricos y producción cultural</w:t>
      </w:r>
      <w:r w:rsidRPr="4A2D3AA3" w:rsidR="1E0FDD4E">
        <w:rPr>
          <w:rFonts w:ascii="Times New Roman" w:hAnsi="Times New Roman" w:cs="Times New Roman"/>
          <w:b w:val="1"/>
          <w:bCs w:val="1"/>
          <w:i w:val="0"/>
          <w:iCs w:val="0"/>
          <w:sz w:val="24"/>
          <w:szCs w:val="24"/>
          <w:lang w:val="es-AR"/>
        </w:rPr>
        <w:t xml:space="preserve"> </w:t>
      </w:r>
      <w:r w:rsidRPr="4A2D3AA3" w:rsidR="1E0FDD4E">
        <w:rPr>
          <w:rFonts w:ascii="Times New Roman" w:hAnsi="Times New Roman" w:cs="Times New Roman"/>
          <w:b w:val="1"/>
          <w:bCs w:val="1"/>
          <w:i w:val="1"/>
          <w:iCs w:val="1"/>
          <w:sz w:val="24"/>
          <w:szCs w:val="24"/>
          <w:lang w:val="es-AR"/>
        </w:rPr>
        <w:t>(</w:t>
      </w:r>
      <w:r w:rsidRPr="4A2D3AA3" w:rsidR="1E0FDD4E">
        <w:rPr>
          <w:rFonts w:ascii="Times New Roman" w:hAnsi="Times New Roman" w:cs="Times New Roman"/>
          <w:b w:val="1"/>
          <w:bCs w:val="1"/>
          <w:i w:val="1"/>
          <w:iCs w:val="1"/>
          <w:sz w:val="24"/>
          <w:szCs w:val="24"/>
          <w:lang w:val="es-AR"/>
        </w:rPr>
        <w:t>A)</w:t>
      </w:r>
    </w:p>
    <w:p w:rsidRPr="00732755" w:rsidR="00732755" w:rsidRDefault="00732755" w14:paraId="5A9083D0" w14:textId="77777777">
      <w:pPr>
        <w:rPr>
          <w:lang w:val="es-AR"/>
        </w:rPr>
      </w:pPr>
      <w:bookmarkStart w:name="_GoBack" w:id="0"/>
      <w:bookmarkEnd w:id="0"/>
    </w:p>
    <w:sectPr w:rsidRPr="00732755" w:rsidR="0073275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128"/>
    <w:rsid w:val="00732755"/>
    <w:rsid w:val="00A06128"/>
    <w:rsid w:val="1E0FDD4E"/>
    <w:rsid w:val="4A2D3A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9DB33"/>
  <w15:chartTrackingRefBased/>
  <w15:docId w15:val="{0C28C4D3-28DF-411A-A188-8D1F22B4C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06128"/>
    <w:pPr>
      <w:pBdr>
        <w:top w:val="nil"/>
        <w:left w:val="nil"/>
        <w:bottom w:val="nil"/>
        <w:right w:val="nil"/>
        <w:between w:val="nil"/>
      </w:pBdr>
      <w:spacing w:after="0" w:line="276" w:lineRule="auto"/>
    </w:pPr>
    <w:rPr>
      <w:rFonts w:ascii="Arial" w:hAnsi="Arial" w:eastAsia="Arial" w:cs="Arial"/>
      <w:color w:val="000000"/>
      <w:lang w:val="en-US" w:eastAsia="es-A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558E61-7070-4E18-9F3D-968552A8A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B687F-7219-450F-87F2-042BD3528992}">
  <ds:schemaRefs>
    <ds:schemaRef ds:uri="http://schemas.microsoft.com/sharepoint/v3/contenttype/forms"/>
  </ds:schemaRefs>
</ds:datastoreItem>
</file>

<file path=customXml/itemProps3.xml><?xml version="1.0" encoding="utf-8"?>
<ds:datastoreItem xmlns:ds="http://schemas.openxmlformats.org/officeDocument/2006/customXml" ds:itemID="{071F971A-6287-4275-9D4E-A9C70B5F74CF}">
  <ds:schemaRefs>
    <ds:schemaRef ds:uri="ddf49191-4a0d-4f37-8b3e-014c99b2be18"/>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2021-05-29T07:31:00.0000000Z</dcterms:created>
  <dcterms:modified xsi:type="dcterms:W3CDTF">2021-06-02T13:06:03.6710010Z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