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13662" w:rsidR="003C6573" w:rsidP="003C6573" w:rsidRDefault="003C6573" w14:paraId="2E397C8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caps/>
          <w:lang w:val="es-ES_tradnl"/>
        </w:rPr>
      </w:pPr>
      <w:r w:rsidRPr="00813662">
        <w:rPr>
          <w:rFonts w:ascii="Times New Roman" w:hAnsi="Times New Roman"/>
          <w:b/>
          <w:caps/>
          <w:lang w:val="es-ES_tradnl"/>
        </w:rPr>
        <w:t>IILI 202</w:t>
      </w:r>
      <w:r>
        <w:rPr>
          <w:rFonts w:ascii="Times New Roman" w:hAnsi="Times New Roman"/>
          <w:b/>
          <w:caps/>
          <w:lang w:val="es-ES_tradnl"/>
        </w:rPr>
        <w:t>1</w:t>
      </w:r>
      <w:r w:rsidRPr="00813662">
        <w:rPr>
          <w:rFonts w:ascii="Times New Roman" w:hAnsi="Times New Roman"/>
          <w:b/>
          <w:caps/>
          <w:lang w:val="es-ES_tradnl"/>
        </w:rPr>
        <w:t xml:space="preserve"> - XLIII Congreso Internacional </w:t>
      </w:r>
    </w:p>
    <w:p w:rsidRPr="00813662" w:rsidR="003C6573" w:rsidP="003C6573" w:rsidRDefault="003C6573" w14:paraId="6E6AA28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lang w:val="es-ES_tradnl"/>
        </w:rPr>
      </w:pPr>
      <w:proofErr w:type="spellStart"/>
      <w:r w:rsidRPr="00813662">
        <w:rPr>
          <w:rFonts w:ascii="Times New Roman" w:hAnsi="Times New Roman"/>
          <w:b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lang w:val="es-ES_tradnl"/>
        </w:rPr>
        <w:t xml:space="preserve"> de Reims Champagne-Ardennes</w:t>
      </w:r>
    </w:p>
    <w:p w:rsidRPr="00813662" w:rsidR="003C6573" w:rsidP="003C6573" w:rsidRDefault="003C6573" w14:paraId="0BEAE9D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/>
        <w:jc w:val="center"/>
        <w:rPr>
          <w:rFonts w:ascii="Times New Roman" w:hAnsi="Times New Roman"/>
          <w:b/>
          <w:lang w:val="es-ES_tradnl"/>
        </w:rPr>
      </w:pPr>
      <w:r w:rsidRPr="00813662">
        <w:rPr>
          <w:rFonts w:ascii="Times New Roman" w:hAnsi="Times New Roman"/>
          <w:b/>
          <w:lang w:val="es-ES_tradnl"/>
        </w:rPr>
        <w:t>Reims, 6-9 de julio 202</w:t>
      </w:r>
      <w:r>
        <w:rPr>
          <w:rFonts w:ascii="Times New Roman" w:hAnsi="Times New Roman"/>
          <w:b/>
          <w:lang w:val="es-ES_tradnl"/>
        </w:rPr>
        <w:t>1</w:t>
      </w:r>
    </w:p>
    <w:p w:rsidRPr="003C6573" w:rsidR="003C6573" w:rsidP="003C6573" w:rsidRDefault="003C6573" w14:paraId="4E18D4A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after="0"/>
        <w:jc w:val="center"/>
        <w:rPr>
          <w:rFonts w:ascii="Times New Roman" w:hAnsi="Times New Roman"/>
          <w:b/>
          <w:i/>
          <w:color w:val="D26508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lang w:val="es-ES_tradnl"/>
        </w:rPr>
        <w:t xml:space="preserve">Cuerpos: miradas poéticas, significaciones políticas </w:t>
      </w:r>
    </w:p>
    <w:p w:rsidRPr="009C1E7C" w:rsidR="003C6573" w:rsidP="003C6573" w:rsidRDefault="003C6573" w14:paraId="29A33A27" w14:textId="77777777">
      <w:pPr>
        <w:pStyle w:val="paragraph"/>
        <w:spacing w:after="0" w:afterAutospacing="0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9C1E7C">
        <w:rPr>
          <w:rStyle w:val="normaltextrun"/>
          <w:rFonts w:ascii="Times New Roman" w:hAnsi="Times New Roman"/>
          <w:b/>
          <w:sz w:val="24"/>
          <w:szCs w:val="24"/>
          <w:lang w:val="es-ES"/>
        </w:rPr>
        <w:t xml:space="preserve">Carlos Mario </w:t>
      </w:r>
      <w:r w:rsidRPr="009C1E7C">
        <w:rPr>
          <w:rStyle w:val="spellingerror"/>
          <w:rFonts w:ascii="Times New Roman" w:hAnsi="Times New Roman"/>
          <w:b/>
          <w:sz w:val="24"/>
          <w:szCs w:val="24"/>
          <w:lang w:val="es-ES"/>
        </w:rPr>
        <w:t>FISGATIVA</w:t>
      </w:r>
      <w:r w:rsidRPr="009C1E7C">
        <w:rPr>
          <w:rStyle w:val="eop"/>
          <w:rFonts w:ascii="Times New Roman" w:hAnsi="Times New Roman"/>
          <w:b/>
          <w:sz w:val="24"/>
          <w:szCs w:val="24"/>
        </w:rPr>
        <w:t> </w:t>
      </w:r>
      <w:r w:rsidRPr="009C1E7C">
        <w:rPr>
          <w:rFonts w:ascii="Times New Roman" w:hAnsi="Times New Roman"/>
          <w:b/>
          <w:sz w:val="24"/>
          <w:szCs w:val="24"/>
        </w:rPr>
        <w:t xml:space="preserve"> </w:t>
      </w:r>
    </w:p>
    <w:p w:rsidR="003C6573" w:rsidP="003C6573" w:rsidRDefault="003C6573" w14:paraId="75FAAD13" w14:textId="77777777">
      <w:pPr>
        <w:pStyle w:val="paragraph"/>
        <w:spacing w:after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31339">
        <w:rPr>
          <w:rStyle w:val="eop"/>
          <w:rFonts w:ascii="Times New Roman" w:hAnsi="Times New Roman"/>
          <w:sz w:val="24"/>
          <w:szCs w:val="24"/>
        </w:rPr>
        <w:t>Universidad del Quindío</w:t>
      </w:r>
      <w:r w:rsidRPr="009C1E7C">
        <w:rPr>
          <w:rFonts w:ascii="Times New Roman" w:hAnsi="Times New Roman"/>
          <w:sz w:val="24"/>
          <w:szCs w:val="24"/>
        </w:rPr>
        <w:t xml:space="preserve"> </w:t>
      </w:r>
    </w:p>
    <w:p w:rsidRPr="009C1E7C" w:rsidR="003C6573" w:rsidP="003C6573" w:rsidRDefault="003C6573" w14:paraId="2CCEB9F9" w14:textId="77777777">
      <w:pPr>
        <w:pStyle w:val="paragraph"/>
        <w:spacing w:after="0"/>
        <w:jc w:val="both"/>
        <w:textAlignment w:val="baseline"/>
        <w:rPr>
          <w:rFonts w:ascii="Times New Roman" w:hAnsi="Times New Roman"/>
          <w:i/>
          <w:iCs/>
          <w:sz w:val="24"/>
          <w:szCs w:val="24"/>
        </w:rPr>
      </w:pPr>
      <w:r w:rsidRPr="009C1E7C">
        <w:rPr>
          <w:rFonts w:ascii="Times New Roman" w:hAnsi="Times New Roman"/>
          <w:sz w:val="24"/>
          <w:szCs w:val="24"/>
        </w:rPr>
        <w:t>Título:</w:t>
      </w:r>
      <w:r w:rsidRPr="00831339">
        <w:rPr>
          <w:rFonts w:ascii="Times New Roman" w:hAnsi="Times New Roman"/>
          <w:sz w:val="24"/>
          <w:szCs w:val="24"/>
          <w:lang w:val="es-CO"/>
        </w:rPr>
        <w:t xml:space="preserve"> </w:t>
      </w:r>
      <w:r w:rsidRPr="009C1E7C">
        <w:rPr>
          <w:rFonts w:ascii="Times New Roman" w:hAnsi="Times New Roman"/>
          <w:b/>
          <w:sz w:val="24"/>
          <w:szCs w:val="24"/>
          <w:lang w:val="es-CO"/>
        </w:rPr>
        <w:t>“</w:t>
      </w:r>
      <w:r w:rsidRPr="009C1E7C">
        <w:rPr>
          <w:rFonts w:ascii="Times New Roman" w:hAnsi="Times New Roman"/>
          <w:b/>
          <w:iCs/>
          <w:sz w:val="24"/>
          <w:szCs w:val="24"/>
          <w:lang w:val="es-ES"/>
        </w:rPr>
        <w:t xml:space="preserve">Del </w:t>
      </w:r>
      <w:proofErr w:type="spellStart"/>
      <w:r w:rsidRPr="009C1E7C">
        <w:rPr>
          <w:rFonts w:ascii="Times New Roman" w:hAnsi="Times New Roman"/>
          <w:b/>
          <w:iCs/>
          <w:sz w:val="24"/>
          <w:szCs w:val="24"/>
          <w:lang w:val="es-ES"/>
        </w:rPr>
        <w:t>subyectil</w:t>
      </w:r>
      <w:proofErr w:type="spellEnd"/>
      <w:r w:rsidRPr="009C1E7C">
        <w:rPr>
          <w:rFonts w:ascii="Times New Roman" w:hAnsi="Times New Roman"/>
          <w:b/>
          <w:iCs/>
          <w:sz w:val="24"/>
          <w:szCs w:val="24"/>
          <w:lang w:val="es-ES"/>
        </w:rPr>
        <w:t xml:space="preserve"> al soporte y el formato</w:t>
      </w:r>
      <w:r>
        <w:rPr>
          <w:rFonts w:ascii="Times New Roman" w:hAnsi="Times New Roman"/>
          <w:b/>
          <w:iCs/>
          <w:sz w:val="24"/>
          <w:szCs w:val="24"/>
          <w:lang w:val="es-ES"/>
        </w:rPr>
        <w:t>”</w:t>
      </w:r>
      <w:r w:rsidRPr="00831339">
        <w:rPr>
          <w:rFonts w:ascii="Times New Roman" w:hAnsi="Times New Roman"/>
          <w:sz w:val="24"/>
          <w:szCs w:val="24"/>
        </w:rPr>
        <w:t xml:space="preserve"> </w:t>
      </w:r>
    </w:p>
    <w:p w:rsidR="003C6573" w:rsidP="003C6573" w:rsidRDefault="003C6573" w14:paraId="11C159E8" w14:textId="77777777">
      <w:pPr>
        <w:pStyle w:val="Default"/>
        <w:jc w:val="both"/>
        <w:rPr>
          <w:rFonts w:ascii="Times New Roman" w:hAnsi="Times New Roman" w:cs="Times New Roman"/>
          <w:sz w:val="24"/>
          <w:szCs w:val="24"/>
          <w:u w:color="000000"/>
          <w:lang w:val="es-ES_tradnl"/>
        </w:rPr>
      </w:pPr>
      <w:r>
        <w:rPr>
          <w:rFonts w:ascii="Times New Roman" w:hAnsi="Times New Roman" w:cs="Times New Roman"/>
          <w:sz w:val="24"/>
          <w:szCs w:val="24"/>
          <w:u w:color="000000"/>
          <w:lang w:val="es-ES_tradnl"/>
        </w:rPr>
        <w:t xml:space="preserve">Propuesta: </w:t>
      </w:r>
    </w:p>
    <w:p w:rsidRPr="00831339" w:rsidR="003C6573" w:rsidP="003C6573" w:rsidRDefault="003C6573" w14:paraId="41A2C198" w14:textId="77777777">
      <w:pPr>
        <w:pStyle w:val="Default"/>
        <w:jc w:val="both"/>
        <w:rPr>
          <w:rFonts w:ascii="Times New Roman" w:hAnsi="Times New Roman" w:eastAsia="Times New Roman" w:cs="Times New Roman"/>
          <w:sz w:val="24"/>
          <w:szCs w:val="24"/>
          <w:u w:color="000000"/>
          <w:lang w:val="es-ES_tradnl"/>
        </w:rPr>
      </w:pPr>
      <w:r w:rsidRPr="00831339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 xml:space="preserve">Son dos asuntos los que interrogamos: el concepto de obra en tanto objeto de la creación artística y de la reflexión filosófica y el del artista en tanto sujeto creador; ya que una indagación por las artes debe dar respuestas respecto a la función e interacciones de estos conceptos. Como hipótesis tenemos que el arte, y en particular la pintura no solo se resiste la reducción interpretativa sino también a servir como herramienta de identificación o fundamentación de la subjetividad. </w:t>
      </w:r>
      <w:r w:rsidRPr="00831339">
        <w:rPr>
          <w:rFonts w:ascii="Times New Roman" w:hAnsi="Times New Roman" w:cs="Times New Roman"/>
          <w:sz w:val="24"/>
          <w:szCs w:val="24"/>
          <w:u w:color="000000"/>
          <w:shd w:val="clear" w:color="auto" w:fill="FEFEFE"/>
          <w:lang w:val="es-ES_tradnl"/>
        </w:rPr>
        <w:t xml:space="preserve">Partiendo de </w:t>
      </w:r>
      <w:proofErr w:type="spellStart"/>
      <w:r w:rsidRPr="005850A8">
        <w:rPr>
          <w:rFonts w:ascii="Times New Roman" w:hAnsi="Times New Roman" w:cs="Times New Roman"/>
          <w:i/>
          <w:iCs/>
          <w:sz w:val="24"/>
          <w:szCs w:val="24"/>
          <w:u w:color="000000"/>
          <w:shd w:val="clear" w:color="auto" w:fill="FEFEFE"/>
          <w:lang w:val="es-ES"/>
        </w:rPr>
        <w:t>Forcener</w:t>
      </w:r>
      <w:proofErr w:type="spellEnd"/>
      <w:r w:rsidRPr="005850A8">
        <w:rPr>
          <w:rFonts w:ascii="Times New Roman" w:hAnsi="Times New Roman" w:cs="Times New Roman"/>
          <w:i/>
          <w:iCs/>
          <w:sz w:val="24"/>
          <w:szCs w:val="24"/>
          <w:u w:color="000000"/>
          <w:shd w:val="clear" w:color="auto" w:fill="FEFEFE"/>
          <w:lang w:val="es-ES"/>
        </w:rPr>
        <w:t xml:space="preserve"> le </w:t>
      </w:r>
      <w:proofErr w:type="spellStart"/>
      <w:r w:rsidRPr="005850A8">
        <w:rPr>
          <w:rFonts w:ascii="Times New Roman" w:hAnsi="Times New Roman" w:cs="Times New Roman"/>
          <w:i/>
          <w:iCs/>
          <w:sz w:val="24"/>
          <w:szCs w:val="24"/>
          <w:u w:color="000000"/>
          <w:shd w:val="clear" w:color="auto" w:fill="FEFEFE"/>
          <w:lang w:val="es-ES"/>
        </w:rPr>
        <w:t>subjectil</w:t>
      </w:r>
      <w:proofErr w:type="spellEnd"/>
      <w:r w:rsidRPr="00831339">
        <w:rPr>
          <w:rFonts w:ascii="Times New Roman" w:hAnsi="Times New Roman" w:cs="Times New Roman"/>
          <w:sz w:val="24"/>
          <w:szCs w:val="24"/>
          <w:u w:color="000000"/>
          <w:shd w:val="clear" w:color="auto" w:fill="FEFEFE"/>
          <w:lang w:val="es-ES_tradnl"/>
        </w:rPr>
        <w:t xml:space="preserve"> y la conferencia </w:t>
      </w:r>
      <w:r w:rsidRPr="005850A8">
        <w:rPr>
          <w:rFonts w:ascii="Times New Roman" w:hAnsi="Times New Roman" w:cs="Times New Roman"/>
          <w:i/>
          <w:iCs/>
          <w:sz w:val="24"/>
          <w:szCs w:val="24"/>
          <w:u w:color="000000"/>
          <w:shd w:val="clear" w:color="auto" w:fill="FEFEFE"/>
          <w:lang w:val="es-ES"/>
        </w:rPr>
        <w:t>Artaud le Moma</w:t>
      </w:r>
      <w:r w:rsidRPr="00831339">
        <w:rPr>
          <w:rFonts w:ascii="Times New Roman" w:hAnsi="Times New Roman" w:cs="Times New Roman"/>
          <w:sz w:val="24"/>
          <w:szCs w:val="24"/>
          <w:u w:color="000000"/>
          <w:shd w:val="clear" w:color="auto" w:fill="FEFEFE"/>
          <w:lang w:val="es-ES_tradnl"/>
        </w:rPr>
        <w:t xml:space="preserve"> sobre los dibujos de </w:t>
      </w:r>
      <w:proofErr w:type="spellStart"/>
      <w:r w:rsidRPr="00831339">
        <w:rPr>
          <w:rFonts w:ascii="Times New Roman" w:hAnsi="Times New Roman" w:cs="Times New Roman"/>
          <w:sz w:val="24"/>
          <w:szCs w:val="24"/>
          <w:u w:color="000000"/>
          <w:shd w:val="clear" w:color="auto" w:fill="FEFEFE"/>
          <w:lang w:val="es-ES_tradnl"/>
        </w:rPr>
        <w:t>Antonin</w:t>
      </w:r>
      <w:proofErr w:type="spellEnd"/>
      <w:r w:rsidRPr="00831339">
        <w:rPr>
          <w:rFonts w:ascii="Times New Roman" w:hAnsi="Times New Roman" w:cs="Times New Roman"/>
          <w:sz w:val="24"/>
          <w:szCs w:val="24"/>
          <w:u w:color="000000"/>
          <w:shd w:val="clear" w:color="auto" w:fill="FEFEFE"/>
          <w:lang w:val="es-ES_tradnl"/>
        </w:rPr>
        <w:t xml:space="preserve"> Artaud (</w:t>
      </w:r>
      <w:proofErr w:type="spellStart"/>
      <w:r w:rsidRPr="00831339">
        <w:rPr>
          <w:rFonts w:ascii="Times New Roman" w:hAnsi="Times New Roman" w:cs="Times New Roman"/>
          <w:sz w:val="24"/>
          <w:szCs w:val="24"/>
          <w:u w:color="000000"/>
          <w:shd w:val="clear" w:color="auto" w:fill="FEFEFE"/>
          <w:lang w:val="es-ES_tradnl"/>
        </w:rPr>
        <w:t>AMo</w:t>
      </w:r>
      <w:proofErr w:type="spellEnd"/>
      <w:r w:rsidRPr="00831339">
        <w:rPr>
          <w:rFonts w:ascii="Times New Roman" w:hAnsi="Times New Roman" w:cs="Times New Roman"/>
          <w:sz w:val="24"/>
          <w:szCs w:val="24"/>
          <w:u w:color="000000"/>
          <w:shd w:val="clear" w:color="auto" w:fill="FEFEFE"/>
          <w:lang w:val="es-ES_tradnl"/>
        </w:rPr>
        <w:t xml:space="preserve">), rastreamos la </w:t>
      </w:r>
      <w:proofErr w:type="spellStart"/>
      <w:r w:rsidRPr="00831339">
        <w:rPr>
          <w:rFonts w:ascii="Times New Roman" w:hAnsi="Times New Roman" w:cs="Times New Roman"/>
          <w:sz w:val="24"/>
          <w:szCs w:val="24"/>
          <w:u w:color="000000"/>
          <w:shd w:val="clear" w:color="auto" w:fill="FEFEFE"/>
          <w:lang w:val="es-ES_tradnl"/>
        </w:rPr>
        <w:t>clá</w:t>
      </w:r>
      <w:proofErr w:type="spellEnd"/>
      <w:r w:rsidRPr="00831339">
        <w:rPr>
          <w:rFonts w:ascii="Times New Roman" w:hAnsi="Times New Roman" w:cs="Times New Roman"/>
          <w:sz w:val="24"/>
          <w:szCs w:val="24"/>
          <w:u w:color="000000"/>
          <w:shd w:val="clear" w:color="auto" w:fill="FEFEFE"/>
          <w:lang w:val="it-IT"/>
        </w:rPr>
        <w:t>sica distinci</w:t>
      </w:r>
      <w:proofErr w:type="spellStart"/>
      <w:r w:rsidRPr="00831339">
        <w:rPr>
          <w:rFonts w:ascii="Times New Roman" w:hAnsi="Times New Roman" w:cs="Times New Roman"/>
          <w:sz w:val="24"/>
          <w:szCs w:val="24"/>
          <w:u w:color="000000"/>
          <w:shd w:val="clear" w:color="auto" w:fill="FEFEFE"/>
          <w:lang w:val="es-ES_tradnl"/>
        </w:rPr>
        <w:t>ón</w:t>
      </w:r>
      <w:proofErr w:type="spellEnd"/>
      <w:r w:rsidRPr="00831339">
        <w:rPr>
          <w:rFonts w:ascii="Times New Roman" w:hAnsi="Times New Roman" w:cs="Times New Roman"/>
          <w:sz w:val="24"/>
          <w:szCs w:val="24"/>
          <w:u w:color="000000"/>
          <w:shd w:val="clear" w:color="auto" w:fill="FEFEFE"/>
          <w:lang w:val="es-ES_tradnl"/>
        </w:rPr>
        <w:t xml:space="preserve"> entre sujeto y objeto que es puesta en cuestión por el </w:t>
      </w:r>
      <w:proofErr w:type="spellStart"/>
      <w:r w:rsidRPr="00831339">
        <w:rPr>
          <w:rFonts w:ascii="Times New Roman" w:hAnsi="Times New Roman" w:cs="Times New Roman"/>
          <w:sz w:val="24"/>
          <w:szCs w:val="24"/>
          <w:u w:color="000000"/>
          <w:shd w:val="clear" w:color="auto" w:fill="FEFEFE"/>
          <w:lang w:val="es-ES_tradnl"/>
        </w:rPr>
        <w:t>subjectil</w:t>
      </w:r>
      <w:proofErr w:type="spellEnd"/>
      <w:r w:rsidRPr="00831339">
        <w:rPr>
          <w:rFonts w:ascii="Times New Roman" w:hAnsi="Times New Roman" w:cs="Times New Roman"/>
          <w:sz w:val="24"/>
          <w:szCs w:val="24"/>
          <w:u w:color="000000"/>
          <w:shd w:val="clear" w:color="auto" w:fill="FEFEFE"/>
          <w:lang w:val="es-ES_tradnl"/>
        </w:rPr>
        <w:t>, otro indecidible acerca de la pintura y el dibujo con el que se afronta la idealidad y lo representativo en las obras de arte</w:t>
      </w:r>
      <w:r w:rsidRPr="00831339">
        <w:rPr>
          <w:rFonts w:ascii="Times New Roman" w:hAnsi="Times New Roman" w:cs="Times New Roman"/>
          <w:sz w:val="24"/>
          <w:szCs w:val="24"/>
          <w:u w:color="000000"/>
          <w:lang w:val="es-ES_tradnl"/>
        </w:rPr>
        <w:t>. Esto nos permite mostrar que e</w:t>
      </w:r>
      <w:r w:rsidRPr="00831339">
        <w:rPr>
          <w:rFonts w:ascii="Times New Roman" w:hAnsi="Times New Roman" w:cs="Times New Roman"/>
          <w:sz w:val="24"/>
          <w:szCs w:val="24"/>
          <w:u w:color="000000"/>
          <w:shd w:val="clear" w:color="auto" w:fill="FEFEFE"/>
          <w:lang w:val="es-ES_tradnl"/>
        </w:rPr>
        <w:t xml:space="preserve">l pensamiento </w:t>
      </w:r>
      <w:proofErr w:type="spellStart"/>
      <w:r w:rsidRPr="00831339">
        <w:rPr>
          <w:rFonts w:ascii="Times New Roman" w:hAnsi="Times New Roman" w:cs="Times New Roman"/>
          <w:sz w:val="24"/>
          <w:szCs w:val="24"/>
          <w:u w:color="000000"/>
          <w:shd w:val="clear" w:color="auto" w:fill="FEFEFE"/>
          <w:lang w:val="es-ES_tradnl"/>
        </w:rPr>
        <w:t>derridiano</w:t>
      </w:r>
      <w:proofErr w:type="spellEnd"/>
      <w:r w:rsidRPr="00831339">
        <w:rPr>
          <w:rFonts w:ascii="Times New Roman" w:hAnsi="Times New Roman" w:cs="Times New Roman"/>
          <w:sz w:val="24"/>
          <w:szCs w:val="24"/>
          <w:u w:color="000000"/>
          <w:shd w:val="clear" w:color="auto" w:fill="FEFEFE"/>
          <w:lang w:val="es-ES_tradnl"/>
        </w:rPr>
        <w:t xml:space="preserve"> toma a la obra en tanto inapropiable, como no dependiente ni asignable a un sujeto, a un portador, usuario o propietario</w:t>
      </w:r>
      <w:r w:rsidRPr="00831339">
        <w:rPr>
          <w:rFonts w:ascii="Times New Roman" w:hAnsi="Times New Roman" w:cs="Times New Roman"/>
          <w:i/>
          <w:iCs/>
          <w:sz w:val="24"/>
          <w:szCs w:val="24"/>
          <w:u w:color="000000"/>
          <w:lang w:val="es-ES_tradnl"/>
        </w:rPr>
        <w:t>.</w:t>
      </w:r>
      <w:r w:rsidRPr="005850A8">
        <w:rPr>
          <w:rFonts w:ascii="Times New Roman" w:hAnsi="Times New Roman" w:cs="Times New Roman"/>
          <w:i/>
          <w:iCs/>
          <w:kern w:val="1"/>
          <w:sz w:val="24"/>
          <w:szCs w:val="24"/>
          <w:u w:color="000000"/>
          <w:lang w:val="es-ES"/>
        </w:rPr>
        <w:t xml:space="preserve"> </w:t>
      </w:r>
    </w:p>
    <w:p w:rsidRPr="009C1E7C" w:rsidR="003C6573" w:rsidP="5ACFAAFC" w:rsidRDefault="003C6573" w14:paraId="1BE9B36C" w14:textId="77777777">
      <w:pPr>
        <w:pStyle w:val="Default"/>
        <w:spacing w:before="40"/>
        <w:ind w:firstLine="708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5ACFAAFC" w:rsidR="003C6573">
        <w:rPr>
          <w:rFonts w:ascii="Times New Roman" w:hAnsi="Times New Roman" w:cs="Times New Roman"/>
          <w:sz w:val="24"/>
          <w:szCs w:val="24"/>
          <w:shd w:val="clear" w:color="auto" w:fill="FEFEFE"/>
          <w:lang w:val="es-ES"/>
        </w:rPr>
        <w:t xml:space="preserve">De igual manera, la cuestión del cuerpo, y del soporte, de la quimera entre el texto y el dibujo, entre el sujeto y el objeto se ponen en escena (FSJ: 22). Gracias al </w:t>
      </w:r>
      <w:proofErr w:type="spellStart"/>
      <w:r w:rsidRPr="5ACFAAFC" w:rsidR="003C6573">
        <w:rPr>
          <w:rFonts w:ascii="Times New Roman" w:hAnsi="Times New Roman" w:cs="Times New Roman"/>
          <w:sz w:val="24"/>
          <w:szCs w:val="24"/>
          <w:shd w:val="clear" w:color="auto" w:fill="FEFEFE"/>
          <w:lang w:val="es-ES"/>
        </w:rPr>
        <w:t>subjectil</w:t>
      </w:r>
      <w:proofErr w:type="spellEnd"/>
      <w:r w:rsidRPr="5ACFAAFC" w:rsidR="003C6573">
        <w:rPr>
          <w:rFonts w:ascii="Times New Roman" w:hAnsi="Times New Roman" w:cs="Times New Roman"/>
          <w:sz w:val="24"/>
          <w:szCs w:val="24"/>
          <w:shd w:val="clear" w:color="auto" w:fill="FEFEFE"/>
          <w:lang w:val="es-ES"/>
        </w:rPr>
        <w:t xml:space="preserve"> los polos del objeto y del sujeto entran en una lógica indecidible del ni/ni que cortocircuita la función consciente e intencional del sujeto; ello a causa de su innegable car</w:t>
      </w:r>
      <w:r w:rsidRPr="005850A8" w:rsidR="003C6573">
        <w:rPr>
          <w:rFonts w:ascii="Times New Roman" w:hAnsi="Times New Roman" w:cs="Times New Roman"/>
          <w:sz w:val="24"/>
          <w:szCs w:val="24"/>
          <w:shd w:val="clear" w:color="auto" w:fill="FEFEFE"/>
          <w:lang w:val="es-ES"/>
        </w:rPr>
        <w:t>á</w:t>
      </w:r>
      <w:proofErr w:type="spellStart"/>
      <w:r w:rsidRPr="5ACFAAFC" w:rsidR="003C6573">
        <w:rPr>
          <w:rFonts w:ascii="Times New Roman" w:hAnsi="Times New Roman" w:cs="Times New Roman"/>
          <w:sz w:val="24"/>
          <w:szCs w:val="24"/>
          <w:shd w:val="clear" w:color="auto" w:fill="FEFEFE"/>
          <w:lang w:val="es-ES"/>
        </w:rPr>
        <w:t>cter</w:t>
      </w:r>
      <w:proofErr w:type="spellEnd"/>
      <w:r w:rsidRPr="5ACFAAFC" w:rsidR="003C6573">
        <w:rPr>
          <w:rFonts w:ascii="Times New Roman" w:hAnsi="Times New Roman" w:cs="Times New Roman"/>
          <w:sz w:val="24"/>
          <w:szCs w:val="24"/>
          <w:shd w:val="clear" w:color="auto" w:fill="FEFEFE"/>
          <w:lang w:val="es-ES"/>
        </w:rPr>
        <w:t xml:space="preserve"> material y superficial, y de las fuerzas en tensión que trae a escena (FSJ: 7).</w:t>
      </w:r>
      <w:r w:rsidRPr="005850A8" w:rsidR="003C657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5ACFAAFC" w:rsidR="003C6573">
        <w:rPr>
          <w:rFonts w:ascii="Times New Roman" w:hAnsi="Times New Roman" w:cs="Times New Roman"/>
          <w:sz w:val="24"/>
          <w:szCs w:val="24"/>
          <w:shd w:val="clear" w:color="auto" w:fill="FEFEFE"/>
          <w:lang w:val="es-ES"/>
        </w:rPr>
        <w:t xml:space="preserve">Ni objeto ni sujeto, ni pantalla ni proyectil, el </w:t>
      </w:r>
      <w:proofErr w:type="spellStart"/>
      <w:r w:rsidRPr="5ACFAAFC" w:rsidR="003C6573">
        <w:rPr>
          <w:rFonts w:ascii="Times New Roman" w:hAnsi="Times New Roman" w:cs="Times New Roman"/>
          <w:sz w:val="24"/>
          <w:szCs w:val="24"/>
          <w:shd w:val="clear" w:color="auto" w:fill="FEFEFE"/>
          <w:lang w:val="es-ES"/>
        </w:rPr>
        <w:t>subjectil</w:t>
      </w:r>
      <w:proofErr w:type="spellEnd"/>
      <w:r w:rsidRPr="5ACFAAFC" w:rsidR="003C6573">
        <w:rPr>
          <w:rFonts w:ascii="Times New Roman" w:hAnsi="Times New Roman" w:cs="Times New Roman"/>
          <w:sz w:val="24"/>
          <w:szCs w:val="24"/>
          <w:shd w:val="clear" w:color="auto" w:fill="FEFEFE"/>
          <w:lang w:val="es-ES"/>
        </w:rPr>
        <w:t xml:space="preserve"> puede </w:t>
      </w:r>
      <w:r w:rsidRPr="5ACFAAFC" w:rsidR="003C6573">
        <w:rPr>
          <w:rFonts w:ascii="Times New Roman" w:hAnsi="Times New Roman" w:cs="Times New Roman"/>
          <w:i w:val="1"/>
          <w:iCs w:val="1"/>
          <w:sz w:val="24"/>
          <w:szCs w:val="24"/>
          <w:shd w:val="clear" w:color="auto" w:fill="FEFEFE"/>
          <w:lang w:val="es-ES"/>
        </w:rPr>
        <w:t xml:space="preserve">devenir </w:t>
      </w:r>
      <w:r w:rsidRPr="5ACFAAFC" w:rsidR="003C6573">
        <w:rPr>
          <w:rFonts w:ascii="Times New Roman" w:hAnsi="Times New Roman" w:cs="Times New Roman"/>
          <w:sz w:val="24"/>
          <w:szCs w:val="24"/>
          <w:shd w:val="clear" w:color="auto" w:fill="FEFEFE"/>
          <w:lang w:val="es-ES"/>
        </w:rPr>
        <w:t xml:space="preserve">todo esto, estabilizarse bajo tal forma o moverse bajo la otra (FSJ: 31). En tanto soporte no subjetivo y material, el </w:t>
      </w:r>
      <w:proofErr w:type="spellStart"/>
      <w:r w:rsidRPr="5ACFAAFC" w:rsidR="003C6573">
        <w:rPr>
          <w:rFonts w:ascii="Times New Roman" w:hAnsi="Times New Roman" w:cs="Times New Roman"/>
          <w:sz w:val="24"/>
          <w:szCs w:val="24"/>
          <w:shd w:val="clear" w:color="auto" w:fill="FEFEFE"/>
          <w:lang w:val="es-ES"/>
        </w:rPr>
        <w:t>subyectil</w:t>
      </w:r>
      <w:proofErr w:type="spellEnd"/>
      <w:r w:rsidRPr="5ACFAAFC" w:rsidR="003C6573">
        <w:rPr>
          <w:rFonts w:ascii="Times New Roman" w:hAnsi="Times New Roman" w:cs="Times New Roman"/>
          <w:sz w:val="24"/>
          <w:szCs w:val="24"/>
          <w:shd w:val="clear" w:color="auto" w:fill="FEFEFE"/>
          <w:lang w:val="es-ES"/>
        </w:rPr>
        <w:t xml:space="preserve"> no es sujeto fundante o soporte sustancial, por lo cual no obedece a la ingenuidad identificatoria, tampoco es objeto de un saber certero o de un control por parte del artista (FSJ: 22). </w:t>
      </w:r>
      <w:r w:rsidRPr="5ACFAAFC" w:rsidR="003C6573">
        <w:rPr>
          <w:rFonts w:ascii="Times New Roman" w:hAnsi="Times New Roman" w:cs="Times New Roman"/>
          <w:sz w:val="24"/>
          <w:szCs w:val="24"/>
          <w:lang w:val="es-ES"/>
        </w:rPr>
        <w:t>Emerge, entonces, otra problemática en estos textos acerca de Artaud que remite a la relación entre las artes de lo visual y su nexo con el lenguaje, a la descripción o teorización a propósito de la pintura, el cine o la fotografía.</w:t>
      </w:r>
    </w:p>
    <w:p w:rsidRPr="00FC61BA" w:rsidR="003C6573" w:rsidP="003C6573" w:rsidRDefault="003C6573" w14:paraId="6F94E97C" w14:textId="77777777">
      <w:pPr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  <w:shd w:val="clear" w:color="auto" w:fill="FFFFFF"/>
        </w:rPr>
      </w:pPr>
      <w:r w:rsidRPr="00FC61BA">
        <w:rPr>
          <w:rFonts w:ascii="Times New Roman" w:hAnsi="Times New Roman" w:eastAsia="Times New Roman"/>
          <w:sz w:val="24"/>
          <w:szCs w:val="24"/>
          <w:shd w:val="clear" w:color="auto" w:fill="FFFFFF"/>
        </w:rPr>
        <w:t xml:space="preserve">Ejes: </w:t>
      </w:r>
    </w:p>
    <w:p w:rsidRPr="00FC61BA" w:rsidR="003C6573" w:rsidP="003C6573" w:rsidRDefault="003C6573" w14:paraId="3ECE1D2D" w14:textId="77777777">
      <w:pPr>
        <w:spacing w:after="0" w:line="240" w:lineRule="auto"/>
        <w:ind w:left="57"/>
        <w:jc w:val="both"/>
        <w:rPr>
          <w:rFonts w:ascii="Times New Roman" w:hAnsi="Times New Roman" w:eastAsia="Times New Roman"/>
          <w:sz w:val="24"/>
          <w:szCs w:val="24"/>
          <w:shd w:val="clear" w:color="auto" w:fill="FFFFFF"/>
        </w:rPr>
      </w:pPr>
    </w:p>
    <w:p w:rsidRPr="00FC61BA" w:rsidR="003C6573" w:rsidP="003C6573" w:rsidRDefault="003C6573" w14:paraId="04422D2E" w14:textId="77777777">
      <w:pPr>
        <w:spacing w:after="0" w:line="240" w:lineRule="auto"/>
        <w:jc w:val="both"/>
        <w:rPr>
          <w:rFonts w:ascii="Times New Roman" w:hAnsi="Times New Roman" w:eastAsia="Times New Roman"/>
          <w:b/>
          <w:sz w:val="24"/>
          <w:szCs w:val="24"/>
          <w:shd w:val="clear" w:color="auto" w:fill="FFFFFF"/>
        </w:rPr>
      </w:pPr>
      <w:r w:rsidRPr="00FC61BA">
        <w:rPr>
          <w:rFonts w:ascii="Times New Roman" w:hAnsi="Times New Roman" w:eastAsia="Times New Roman"/>
          <w:b/>
          <w:sz w:val="24"/>
          <w:szCs w:val="24"/>
          <w:shd w:val="clear" w:color="auto" w:fill="FFFFFF"/>
        </w:rPr>
        <w:t>I) CUERPOS, ESCRITURAS CRÍTICAS</w:t>
      </w:r>
    </w:p>
    <w:p w:rsidRPr="00FC61BA" w:rsidR="003C6573" w:rsidP="003C6573" w:rsidRDefault="003C6573" w14:paraId="79CBEB6A" w14:textId="7777777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61BA">
        <w:rPr>
          <w:rFonts w:ascii="Times New Roman" w:hAnsi="Times New Roman"/>
          <w:sz w:val="24"/>
          <w:szCs w:val="24"/>
        </w:rPr>
        <w:t xml:space="preserve">Configuraciones críticas de la diferencia </w:t>
      </w:r>
    </w:p>
    <w:p w:rsidRPr="00FC61BA" w:rsidR="003C6573" w:rsidP="003C6573" w:rsidRDefault="003C6573" w14:paraId="1F133A12" w14:textId="7777777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61BA">
        <w:rPr>
          <w:rFonts w:ascii="Times New Roman" w:hAnsi="Times New Roman"/>
          <w:sz w:val="24"/>
          <w:szCs w:val="24"/>
        </w:rPr>
        <w:t xml:space="preserve">Monstruos, </w:t>
      </w:r>
      <w:proofErr w:type="spellStart"/>
      <w:r w:rsidRPr="00FC61BA">
        <w:rPr>
          <w:rFonts w:ascii="Times New Roman" w:hAnsi="Times New Roman"/>
          <w:sz w:val="24"/>
          <w:szCs w:val="24"/>
        </w:rPr>
        <w:t>aliens</w:t>
      </w:r>
      <w:proofErr w:type="spellEnd"/>
      <w:r w:rsidRPr="00FC61BA">
        <w:rPr>
          <w:rFonts w:ascii="Times New Roman" w:hAnsi="Times New Roman"/>
          <w:sz w:val="24"/>
          <w:szCs w:val="24"/>
        </w:rPr>
        <w:t>, seres errantes, exiliados</w:t>
      </w:r>
    </w:p>
    <w:p w:rsidRPr="00FC61BA" w:rsidR="003C6573" w:rsidP="003C6573" w:rsidRDefault="003C6573" w14:paraId="3FA7820E" w14:textId="7777777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61BA">
        <w:rPr>
          <w:rFonts w:ascii="Times New Roman" w:hAnsi="Times New Roman"/>
          <w:sz w:val="24"/>
          <w:szCs w:val="24"/>
        </w:rPr>
        <w:t xml:space="preserve">Cuerpos vulnerables / Cuerpos indómitos / Cuerpos festivos / Cuerpos virtuosos </w:t>
      </w:r>
    </w:p>
    <w:p w:rsidRPr="00FC61BA" w:rsidR="003C6573" w:rsidP="003C6573" w:rsidRDefault="003C6573" w14:paraId="183531CC" w14:textId="7777777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left="57"/>
        <w:jc w:val="both"/>
        <w:rPr>
          <w:rFonts w:ascii="Times New Roman" w:hAnsi="Times New Roman"/>
          <w:sz w:val="24"/>
          <w:szCs w:val="24"/>
        </w:rPr>
      </w:pPr>
    </w:p>
    <w:p w:rsidRPr="00FC61BA" w:rsidR="003C6573" w:rsidP="003C6573" w:rsidRDefault="003C6573" w14:paraId="4BC4295D" w14:textId="7777777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C61BA">
        <w:rPr>
          <w:rFonts w:ascii="Times New Roman" w:hAnsi="Times New Roman"/>
          <w:b/>
          <w:sz w:val="24"/>
          <w:szCs w:val="24"/>
        </w:rPr>
        <w:t>II) TRAMAS POLÍTICAS</w:t>
      </w:r>
    </w:p>
    <w:p w:rsidRPr="00FC61BA" w:rsidR="003C6573" w:rsidP="003C6573" w:rsidRDefault="003C6573" w14:paraId="3F73AED9" w14:textId="7777777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61BA">
        <w:rPr>
          <w:rFonts w:ascii="Times New Roman" w:hAnsi="Times New Roman"/>
          <w:sz w:val="24"/>
          <w:szCs w:val="24"/>
        </w:rPr>
        <w:t xml:space="preserve">Corporeidad e imaginarios de la carne </w:t>
      </w:r>
    </w:p>
    <w:p w:rsidRPr="00FC61BA" w:rsidR="003C6573" w:rsidP="003C6573" w:rsidRDefault="003C6573" w14:paraId="5407A168" w14:textId="7777777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61BA">
        <w:rPr>
          <w:rFonts w:ascii="Times New Roman" w:hAnsi="Times New Roman"/>
          <w:sz w:val="24"/>
          <w:szCs w:val="24"/>
        </w:rPr>
        <w:t xml:space="preserve">Cuerpo, instrumento del pensamiento </w:t>
      </w:r>
    </w:p>
    <w:p w:rsidRPr="00FC61BA" w:rsidR="003C6573" w:rsidP="003C6573" w:rsidRDefault="003C6573" w14:paraId="43C8062C" w14:textId="7777777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Pr="003C6573" w:rsidR="003C6573" w:rsidP="003C6573" w:rsidRDefault="003C6573" w14:paraId="6BA19555" w14:textId="77777777">
      <w:pPr>
        <w:spacing w:after="0" w:line="240" w:lineRule="auto"/>
        <w:jc w:val="both"/>
        <w:rPr>
          <w:rFonts w:ascii="Times New Roman" w:hAnsi="Times New Roman" w:eastAsia="Times New Roman"/>
          <w:b/>
          <w:i/>
          <w:sz w:val="24"/>
          <w:szCs w:val="24"/>
          <w:shd w:val="clear" w:color="auto" w:fill="FFFFFF"/>
        </w:rPr>
      </w:pPr>
      <w:r w:rsidRPr="00FC61BA">
        <w:rPr>
          <w:rFonts w:ascii="Times New Roman" w:hAnsi="Times New Roman" w:eastAsia="Times New Roman"/>
          <w:b/>
          <w:sz w:val="24"/>
          <w:szCs w:val="24"/>
          <w:shd w:val="clear" w:color="auto" w:fill="FFFFFF"/>
        </w:rPr>
        <w:t xml:space="preserve">MESA REDONDA: </w:t>
      </w:r>
      <w:r w:rsidRPr="00FC61BA">
        <w:rPr>
          <w:rFonts w:ascii="Times New Roman" w:hAnsi="Times New Roman" w:eastAsia="Times New Roman"/>
          <w:b/>
          <w:i/>
          <w:sz w:val="24"/>
          <w:szCs w:val="24"/>
          <w:shd w:val="clear" w:color="auto" w:fill="FFFFFF"/>
        </w:rPr>
        <w:t>Cuerpos extraños, anómalos y excesivos en la literatura contemporánea</w:t>
      </w:r>
      <w:bookmarkStart w:name="_GoBack" w:id="0"/>
      <w:bookmarkEnd w:id="0"/>
    </w:p>
    <w:sectPr w:rsidRPr="003C6573" w:rsidR="003C6573" w:rsidSect="00F8385C">
      <w:pgSz w:w="11900" w:h="16840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dirty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573"/>
    <w:rsid w:val="003C6573"/>
    <w:rsid w:val="5ACFA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D9CDF"/>
  <w15:chartTrackingRefBased/>
  <w15:docId w15:val="{AC57C584-A155-46D6-9B94-35C935F54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Default" w:customStyle="1">
    <w:name w:val="Default"/>
    <w:rsid w:val="003C657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hAnsi="Helvetica Neue" w:eastAsia="Arial Unicode MS" w:cs="Arial Unicode MS"/>
      <w:color w:val="000000"/>
      <w:bdr w:val="nil"/>
      <w:lang w:val="en-US" w:eastAsia="es-ES"/>
    </w:rPr>
  </w:style>
  <w:style w:type="paragraph" w:styleId="paragraph" w:customStyle="1">
    <w:name w:val="paragraph"/>
    <w:basedOn w:val="Normal"/>
    <w:rsid w:val="003C6573"/>
    <w:pPr>
      <w:spacing w:before="100" w:beforeAutospacing="1" w:after="100" w:afterAutospacing="1" w:line="240" w:lineRule="auto"/>
    </w:pPr>
    <w:rPr>
      <w:rFonts w:ascii="Times" w:hAnsi="Times" w:eastAsia="MS Mincho" w:cs="Times New Roman"/>
      <w:sz w:val="20"/>
      <w:szCs w:val="20"/>
      <w:lang w:val="es-ES_tradnl" w:eastAsia="es-ES"/>
    </w:rPr>
  </w:style>
  <w:style w:type="character" w:styleId="normaltextrun" w:customStyle="1">
    <w:name w:val="normaltextrun"/>
    <w:basedOn w:val="Policepardfaut"/>
    <w:rsid w:val="003C6573"/>
  </w:style>
  <w:style w:type="character" w:styleId="eop" w:customStyle="1">
    <w:name w:val="eop"/>
    <w:basedOn w:val="Policepardfaut"/>
    <w:rsid w:val="003C6573"/>
  </w:style>
  <w:style w:type="character" w:styleId="spellingerror" w:customStyle="1">
    <w:name w:val="spellingerror"/>
    <w:basedOn w:val="Policepardfaut"/>
    <w:rsid w:val="003C65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02E2CD-1224-45DB-891D-07255B8F44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C84473-03C0-4F93-A5A1-8A0B628653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1BC00F-6615-492D-992B-599845640EF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df49191-4a0d-4f37-8b3e-014c99b2be18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Universite de Reims Champagne Ardennes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SONIA FERNANDEZ HOYOS</dc:creator>
  <keywords/>
  <dc:description/>
  <lastModifiedBy>SONIA FERNANDEZ HOYOS</lastModifiedBy>
  <revision>2</revision>
  <dcterms:created xsi:type="dcterms:W3CDTF">2021-05-30T21:41:00.0000000Z</dcterms:created>
  <dcterms:modified xsi:type="dcterms:W3CDTF">2021-06-02T12:24:16.6271648Z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