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7548" w:rsidP="00557548" w:rsidRDefault="00557548" w14:paraId="40DCEDC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557548" w:rsidP="00557548" w:rsidRDefault="00557548" w14:paraId="7699E9D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557548" w:rsidP="00557548" w:rsidRDefault="00557548" w14:paraId="09ABD59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557548" w:rsidP="00557548" w:rsidRDefault="00557548" w14:paraId="202CB8AD"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557548" w:rsidP="00557548" w:rsidRDefault="00557548" w14:paraId="6EB583A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557548" w:rsidP="00557548" w:rsidRDefault="00557548" w14:paraId="4487E64C" w14:textId="77777777">
      <w:pPr>
        <w:pStyle w:val="NormalWeb"/>
        <w:spacing w:before="0" w:beforeAutospacing="0" w:after="0" w:afterAutospacing="0"/>
        <w:rPr>
          <w:b/>
          <w:color w:val="000000"/>
          <w:lang w:val="es-ES"/>
        </w:rPr>
      </w:pPr>
      <w:r w:rsidRPr="002F457D">
        <w:rPr>
          <w:color w:val="000000"/>
          <w:lang w:val="es-ES"/>
        </w:rPr>
        <w:t> </w:t>
      </w:r>
      <w:bookmarkStart w:name="_GoBack" w:id="0"/>
      <w:bookmarkEnd w:id="0"/>
    </w:p>
    <w:p w:rsidRPr="00557548" w:rsidR="00557548" w:rsidP="00557548" w:rsidRDefault="00557548" w14:paraId="2C9AC29C" w14:textId="77777777">
      <w:pPr>
        <w:pStyle w:val="NormalWeb"/>
        <w:spacing w:before="0" w:beforeAutospacing="0" w:after="0" w:afterAutospacing="0"/>
        <w:jc w:val="both"/>
        <w:rPr>
          <w:b/>
          <w:color w:val="000000"/>
          <w:lang w:val="es-ES"/>
        </w:rPr>
      </w:pPr>
      <w:r w:rsidRPr="00557548">
        <w:rPr>
          <w:b/>
          <w:color w:val="000000"/>
          <w:lang w:val="es-ES"/>
        </w:rPr>
        <w:t xml:space="preserve">Elizabeth MONASTERIOS </w:t>
      </w:r>
    </w:p>
    <w:p w:rsidRPr="004C6A2E" w:rsidR="00557548" w:rsidP="00557548" w:rsidRDefault="00557548" w14:paraId="48289BB6" w14:textId="77777777">
      <w:pPr>
        <w:pStyle w:val="NormalWeb"/>
        <w:spacing w:before="0" w:beforeAutospacing="0" w:after="0" w:afterAutospacing="0"/>
        <w:jc w:val="both"/>
        <w:rPr>
          <w:b/>
          <w:color w:val="000000"/>
          <w:lang w:val="es-ES"/>
        </w:rPr>
      </w:pPr>
    </w:p>
    <w:p w:rsidRPr="00557548" w:rsidR="00557548" w:rsidP="00557548" w:rsidRDefault="00557548" w14:paraId="58EA6211" w14:textId="77777777">
      <w:pPr>
        <w:pStyle w:val="NormalWeb"/>
        <w:spacing w:before="0" w:beforeAutospacing="0" w:after="0" w:afterAutospacing="0"/>
        <w:jc w:val="both"/>
        <w:rPr>
          <w:color w:val="000000"/>
          <w:lang w:val="es-ES"/>
        </w:rPr>
      </w:pPr>
      <w:proofErr w:type="spellStart"/>
      <w:r w:rsidRPr="00557548">
        <w:rPr>
          <w:color w:val="000000"/>
          <w:lang w:val="es-ES"/>
        </w:rPr>
        <w:t>University</w:t>
      </w:r>
      <w:proofErr w:type="spellEnd"/>
      <w:r w:rsidRPr="00557548">
        <w:rPr>
          <w:color w:val="000000"/>
          <w:lang w:val="es-ES"/>
        </w:rPr>
        <w:t xml:space="preserve"> </w:t>
      </w:r>
      <w:proofErr w:type="spellStart"/>
      <w:r w:rsidRPr="00557548">
        <w:rPr>
          <w:color w:val="000000"/>
          <w:lang w:val="es-ES"/>
        </w:rPr>
        <w:t>of</w:t>
      </w:r>
      <w:proofErr w:type="spellEnd"/>
      <w:r w:rsidRPr="00557548">
        <w:rPr>
          <w:color w:val="000000"/>
          <w:lang w:val="es-ES"/>
        </w:rPr>
        <w:t xml:space="preserve"> Pittsburgh </w:t>
      </w:r>
    </w:p>
    <w:p w:rsidRPr="00557548" w:rsidR="00557548" w:rsidP="00557548" w:rsidRDefault="00557548" w14:paraId="32C114EC" w14:textId="77777777">
      <w:pPr>
        <w:pStyle w:val="NormalWeb"/>
        <w:spacing w:before="0" w:beforeAutospacing="0" w:after="0" w:afterAutospacing="0"/>
        <w:jc w:val="both"/>
        <w:rPr>
          <w:lang w:val="es-ES"/>
        </w:rPr>
      </w:pPr>
    </w:p>
    <w:p w:rsidRPr="00016E0B" w:rsidR="00557548" w:rsidP="00557548" w:rsidRDefault="00557548" w14:paraId="344C670B" w14:textId="77777777">
      <w:pPr>
        <w:pStyle w:val="NormalWeb"/>
        <w:spacing w:before="0" w:beforeAutospacing="0" w:after="0" w:afterAutospacing="0"/>
        <w:jc w:val="both"/>
        <w:rPr>
          <w:b/>
          <w:lang w:val="es-ES"/>
        </w:rPr>
      </w:pPr>
      <w:r w:rsidRPr="004C6A2E">
        <w:rPr>
          <w:color w:val="000000"/>
          <w:lang w:val="es-ES"/>
        </w:rPr>
        <w:t>Título:</w:t>
      </w:r>
      <w:r>
        <w:rPr>
          <w:b/>
          <w:color w:val="000000"/>
          <w:lang w:val="es-ES"/>
        </w:rPr>
        <w:t xml:space="preserve"> “</w:t>
      </w:r>
      <w:r w:rsidRPr="00016E0B">
        <w:rPr>
          <w:b/>
          <w:color w:val="000000"/>
          <w:lang w:val="es-ES"/>
        </w:rPr>
        <w:t>El “giro andino” que una novela boliviana le dio al “giro espacial”</w:t>
      </w:r>
      <w:r>
        <w:rPr>
          <w:b/>
          <w:color w:val="000000"/>
          <w:lang w:val="es-ES"/>
        </w:rPr>
        <w:t>”</w:t>
      </w:r>
    </w:p>
    <w:p w:rsidR="00557548" w:rsidP="00557548" w:rsidRDefault="00557548" w14:paraId="7219EB82" w14:textId="77777777">
      <w:pPr>
        <w:jc w:val="both"/>
        <w:rPr>
          <w:rFonts w:ascii="Times New Roman" w:hAnsi="Times New Roman" w:eastAsia="Times New Roman"/>
          <w:lang w:val="es-ES"/>
        </w:rPr>
      </w:pPr>
    </w:p>
    <w:p w:rsidR="00557548" w:rsidP="00557548" w:rsidRDefault="00557548" w14:paraId="676CC43F" w14:textId="77777777">
      <w:pPr>
        <w:jc w:val="both"/>
        <w:rPr>
          <w:rFonts w:ascii="Times New Roman" w:hAnsi="Times New Roman" w:eastAsia="Times New Roman"/>
          <w:lang w:val="es-ES"/>
        </w:rPr>
      </w:pPr>
      <w:r>
        <w:rPr>
          <w:rFonts w:ascii="Times New Roman" w:hAnsi="Times New Roman" w:eastAsia="Times New Roman"/>
          <w:lang w:val="es-ES"/>
        </w:rPr>
        <w:t xml:space="preserve">Propuesta: </w:t>
      </w:r>
    </w:p>
    <w:p w:rsidRPr="004C6A2E" w:rsidR="00557548" w:rsidP="00557548" w:rsidRDefault="00557548" w14:paraId="52B1A5FD" w14:textId="77777777">
      <w:pPr>
        <w:jc w:val="both"/>
        <w:rPr>
          <w:rFonts w:ascii="Times New Roman" w:hAnsi="Times New Roman" w:eastAsia="Times New Roman"/>
          <w:lang w:val="es-ES"/>
        </w:rPr>
      </w:pPr>
    </w:p>
    <w:p w:rsidRPr="00016E0B" w:rsidR="00557548" w:rsidP="00557548" w:rsidRDefault="00557548" w14:paraId="0439B37B" w14:textId="77777777">
      <w:pPr>
        <w:pStyle w:val="NormalWeb"/>
        <w:spacing w:before="0" w:beforeAutospacing="0" w:after="0" w:afterAutospacing="0"/>
        <w:jc w:val="both"/>
        <w:rPr>
          <w:lang w:val="es-ES"/>
        </w:rPr>
      </w:pPr>
      <w:r w:rsidRPr="00016E0B">
        <w:rPr>
          <w:color w:val="000000"/>
          <w:lang w:val="es-ES"/>
        </w:rPr>
        <w:t xml:space="preserve">Una de las características de la </w:t>
      </w:r>
      <w:proofErr w:type="spellStart"/>
      <w:r w:rsidRPr="00016E0B">
        <w:rPr>
          <w:color w:val="000000"/>
          <w:lang w:val="es-ES"/>
        </w:rPr>
        <w:t>indigeneidad</w:t>
      </w:r>
      <w:proofErr w:type="spellEnd"/>
      <w:r w:rsidRPr="00016E0B">
        <w:rPr>
          <w:color w:val="000000"/>
          <w:lang w:val="es-ES"/>
        </w:rPr>
        <w:t xml:space="preserve"> andina es la intensidad con que sus prácticas culturales desafían categorías analíticas occidentales. Mi ponencia propone una discusión de cómo, en el marco de la literatura boliviana de fines de siglo XX, surgió una narrativa con capacidad de imprimirle “giros andinos” a la reflexión </w:t>
      </w:r>
      <w:proofErr w:type="gramStart"/>
      <w:r w:rsidRPr="00016E0B">
        <w:rPr>
          <w:color w:val="000000"/>
          <w:lang w:val="es-ES"/>
        </w:rPr>
        <w:t>que</w:t>
      </w:r>
      <w:proofErr w:type="gramEnd"/>
      <w:r w:rsidRPr="00016E0B">
        <w:rPr>
          <w:color w:val="000000"/>
          <w:lang w:val="es-ES"/>
        </w:rPr>
        <w:t xml:space="preserve"> sobre los usos y agencias del paisaje, el territorio y la geografía, había propuesto el llamado “giro espacial”. Representativa de esta “</w:t>
      </w:r>
      <w:proofErr w:type="spellStart"/>
      <w:r w:rsidRPr="00016E0B">
        <w:rPr>
          <w:color w:val="000000"/>
          <w:lang w:val="es-ES"/>
        </w:rPr>
        <w:t>andinización</w:t>
      </w:r>
      <w:proofErr w:type="spellEnd"/>
      <w:r w:rsidRPr="00016E0B">
        <w:rPr>
          <w:color w:val="000000"/>
          <w:lang w:val="es-ES"/>
        </w:rPr>
        <w:t xml:space="preserve">” de la teoría fue una novela de Blanca </w:t>
      </w:r>
      <w:proofErr w:type="spellStart"/>
      <w:r w:rsidRPr="00016E0B">
        <w:rPr>
          <w:color w:val="000000"/>
          <w:lang w:val="es-ES"/>
        </w:rPr>
        <w:t>Wietüchter</w:t>
      </w:r>
      <w:proofErr w:type="spellEnd"/>
      <w:r w:rsidRPr="00016E0B">
        <w:rPr>
          <w:color w:val="000000"/>
          <w:lang w:val="es-ES"/>
        </w:rPr>
        <w:t xml:space="preserve"> publicada a fines del siglo XX con el sugerente título de El jardín de Nora (1998).  Invocando la geografía andina como si de un “cuerpo vivo” se tratara, la novela de </w:t>
      </w:r>
      <w:proofErr w:type="spellStart"/>
      <w:r w:rsidRPr="00016E0B">
        <w:rPr>
          <w:color w:val="000000"/>
          <w:lang w:val="es-ES"/>
        </w:rPr>
        <w:t>Wietüchter</w:t>
      </w:r>
      <w:proofErr w:type="spellEnd"/>
      <w:r w:rsidRPr="00016E0B">
        <w:rPr>
          <w:color w:val="000000"/>
          <w:lang w:val="es-ES"/>
        </w:rPr>
        <w:t xml:space="preserve"> explora formas atípicas de resistencia al </w:t>
      </w:r>
      <w:proofErr w:type="spellStart"/>
      <w:r w:rsidRPr="00016E0B">
        <w:rPr>
          <w:color w:val="000000"/>
          <w:lang w:val="es-ES"/>
        </w:rPr>
        <w:t>extractivismo</w:t>
      </w:r>
      <w:proofErr w:type="spellEnd"/>
      <w:r w:rsidRPr="00016E0B">
        <w:rPr>
          <w:color w:val="000000"/>
          <w:lang w:val="es-ES"/>
        </w:rPr>
        <w:t xml:space="preserve"> cultural en sus intersecciones con la historia colonial y las avalanchas migratorias europeas en la región. Nos muestra, por ejemplo, que en contextos que arrastran pasados coloniales faenas tan inocentes como la construcción de jardines se problematizan cuando advertimos que durante la ocupación del Nuevo Mundo la construcción de “jardines” y “paraísos” fue una práctica cultural vinculada a proyectos colonizadores y metáforas de ocupación territorial. Mi ponencia discutirá las distintas “estrategias andinas” que El jardín de Nora viabiliza para interrumpir la construcción de “jardines modernos” y delirios extractivistas.</w:t>
      </w:r>
    </w:p>
    <w:p w:rsidRPr="00016E0B" w:rsidR="00557548" w:rsidP="00557548" w:rsidRDefault="00557548" w14:paraId="34A71D9F" w14:textId="77777777">
      <w:pPr>
        <w:jc w:val="both"/>
        <w:rPr>
          <w:rFonts w:ascii="Times New Roman" w:hAnsi="Times New Roman" w:eastAsia="Times New Roman"/>
          <w:lang w:val="es-ES"/>
        </w:rPr>
      </w:pPr>
    </w:p>
    <w:p w:rsidR="00557548" w:rsidP="00557548" w:rsidRDefault="00557548" w14:paraId="0A282F7C" w14:textId="77777777">
      <w:pPr>
        <w:pStyle w:val="NormalWeb"/>
        <w:spacing w:before="0" w:beforeAutospacing="0" w:after="0" w:afterAutospacing="0"/>
        <w:jc w:val="both"/>
        <w:rPr>
          <w:color w:val="000000"/>
          <w:lang w:val="es-ES"/>
        </w:rPr>
      </w:pPr>
      <w:r>
        <w:rPr>
          <w:color w:val="000000"/>
          <w:lang w:val="es-ES"/>
        </w:rPr>
        <w:t>Eje:</w:t>
      </w:r>
    </w:p>
    <w:p w:rsidR="00557548" w:rsidP="00557548" w:rsidRDefault="00557548" w14:paraId="42B26FE7" w14:textId="77777777">
      <w:pPr>
        <w:pStyle w:val="NormalWeb"/>
        <w:spacing w:before="0" w:beforeAutospacing="0" w:after="0" w:afterAutospacing="0"/>
        <w:jc w:val="both"/>
        <w:rPr>
          <w:color w:val="000000"/>
          <w:lang w:val="es-ES"/>
        </w:rPr>
      </w:pPr>
    </w:p>
    <w:p w:rsidRPr="003D249A" w:rsidR="00557548" w:rsidP="00557548" w:rsidRDefault="00557548" w14:paraId="527BD22D" w14:textId="77777777">
      <w:pPr>
        <w:pStyle w:val="NormalWeb"/>
        <w:spacing w:before="0" w:beforeAutospacing="0" w:after="0" w:afterAutospacing="0"/>
        <w:jc w:val="both"/>
        <w:rPr>
          <w:b/>
          <w:color w:val="000000"/>
          <w:lang w:val="es-ES"/>
        </w:rPr>
      </w:pPr>
      <w:r w:rsidRPr="003D249A">
        <w:rPr>
          <w:b/>
          <w:color w:val="000000"/>
          <w:lang w:val="es-ES"/>
        </w:rPr>
        <w:t>I) CUERPOS, ESCRITURAS CRÍTICAS</w:t>
      </w:r>
    </w:p>
    <w:p w:rsidRPr="003D249A" w:rsidR="00557548" w:rsidP="42AFAF74" w:rsidRDefault="00557548" w14:paraId="733AD958" w14:textId="77777777">
      <w:pPr>
        <w:pStyle w:val="NormalWeb"/>
        <w:spacing w:before="0" w:beforeAutospacing="off" w:after="0" w:afterAutospacing="off"/>
        <w:jc w:val="both"/>
        <w:rPr>
          <w:b w:val="0"/>
          <w:bCs w:val="0"/>
          <w:color w:val="000000"/>
          <w:lang w:val="es-ES"/>
        </w:rPr>
      </w:pPr>
      <w:r w:rsidRPr="42AFAF74" w:rsidR="00557548">
        <w:rPr>
          <w:b w:val="0"/>
          <w:bCs w:val="0"/>
          <w:color w:val="000000" w:themeColor="text1" w:themeTint="FF" w:themeShade="FF"/>
          <w:lang w:val="es-ES"/>
        </w:rPr>
        <w:t>Configuraciones críticas de la diferencia</w:t>
      </w:r>
    </w:p>
    <w:p w:rsidR="00557548" w:rsidP="00557548" w:rsidRDefault="00557548" w14:paraId="33B0EC5F" w14:textId="77777777">
      <w:pPr>
        <w:pStyle w:val="NormalWeb"/>
        <w:spacing w:before="0" w:beforeAutospacing="0" w:after="0" w:afterAutospacing="0"/>
        <w:rPr>
          <w:b/>
          <w:color w:val="000000"/>
          <w:lang w:val="es-ES"/>
        </w:rPr>
      </w:pPr>
    </w:p>
    <w:p w:rsidRPr="00016E0B" w:rsidR="00557548" w:rsidP="0591A808" w:rsidRDefault="00557548" w14:paraId="2568C577" w14:textId="5E15B658">
      <w:pPr>
        <w:pStyle w:val="NormalWeb"/>
        <w:spacing w:before="0" w:beforeAutospacing="off" w:after="0" w:afterAutospacing="off"/>
        <w:rPr>
          <w:b w:val="1"/>
          <w:bCs w:val="1"/>
          <w:i w:val="1"/>
          <w:iCs w:val="1"/>
          <w:color w:val="000000"/>
          <w:lang w:val="es-ES"/>
        </w:rPr>
      </w:pPr>
      <w:r w:rsidRPr="0591A808" w:rsidR="00557548">
        <w:rPr>
          <w:b w:val="1"/>
          <w:bCs w:val="1"/>
          <w:color w:val="000000" w:themeColor="text1" w:themeTint="FF" w:themeShade="FF"/>
          <w:lang w:val="es-ES"/>
        </w:rPr>
        <w:t xml:space="preserve">MESA REDONDA: </w:t>
      </w:r>
      <w:r w:rsidRPr="0591A808" w:rsidR="00557548">
        <w:rPr>
          <w:b w:val="1"/>
          <w:bCs w:val="1"/>
          <w:i w:val="1"/>
          <w:iCs w:val="1"/>
          <w:color w:val="000000" w:themeColor="text1" w:themeTint="FF" w:themeShade="FF"/>
          <w:lang w:val="es-ES"/>
        </w:rPr>
        <w:t>La identidad andina dentro del capitalismo global</w:t>
      </w:r>
    </w:p>
    <w:p w:rsidRPr="00016E0B" w:rsidR="00557548" w:rsidP="00557548" w:rsidRDefault="00557548" w14:paraId="3F6C2E9D" w14:textId="77777777">
      <w:pPr>
        <w:pStyle w:val="NormalWeb"/>
        <w:spacing w:before="0" w:beforeAutospacing="0" w:after="0" w:afterAutospacing="0"/>
        <w:rPr>
          <w:color w:val="000000"/>
          <w:lang w:val="es-ES"/>
        </w:rPr>
      </w:pPr>
    </w:p>
    <w:p w:rsidRPr="00016E0B" w:rsidR="00557548" w:rsidP="00557548" w:rsidRDefault="00557548" w14:paraId="34450258" w14:textId="77777777">
      <w:pPr>
        <w:pStyle w:val="NormalWeb"/>
        <w:spacing w:before="0" w:beforeAutospacing="0" w:after="0" w:afterAutospacing="0"/>
        <w:rPr>
          <w:color w:val="000000"/>
          <w:lang w:val="es-ES"/>
        </w:rPr>
      </w:pPr>
    </w:p>
    <w:p w:rsidRPr="00557548" w:rsidR="00557548" w:rsidRDefault="00557548" w14:paraId="5677C47B" w14:textId="77777777">
      <w:pPr>
        <w:rPr>
          <w:lang w:val="es-ES"/>
        </w:rPr>
      </w:pPr>
    </w:p>
    <w:sectPr w:rsidRPr="00557548" w:rsidR="00557548">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548"/>
    <w:rsid w:val="00557548"/>
    <w:rsid w:val="0591A808"/>
    <w:rsid w:val="42AFAF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2447"/>
  <w15:chartTrackingRefBased/>
  <w15:docId w15:val="{F71A7906-548F-4851-95E1-5174853E4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57548"/>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unhideWhenUsed/>
    <w:rsid w:val="00557548"/>
    <w:pPr>
      <w:spacing w:before="100" w:beforeAutospacing="1" w:after="100" w:afterAutospacing="1"/>
    </w:pPr>
    <w:rPr>
      <w:rFonts w:ascii="Times New Roman" w:hAnsi="Times New Roman" w:eastAsia="Calibr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EF04BF-BC1C-4E9E-A803-C962838E3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A55918-1C82-4E40-9D45-43C045549BC3}">
  <ds:schemaRefs>
    <ds:schemaRef ds:uri="http://schemas.microsoft.com/sharepoint/v3/contenttype/forms"/>
  </ds:schemaRefs>
</ds:datastoreItem>
</file>

<file path=customXml/itemProps3.xml><?xml version="1.0" encoding="utf-8"?>
<ds:datastoreItem xmlns:ds="http://schemas.openxmlformats.org/officeDocument/2006/customXml" ds:itemID="{A81E6364-06AE-40A5-9091-B7C10790F4BF}">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ddf49191-4a0d-4f37-8b3e-014c99b2be18"/>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2021-05-26T19:58:00.0000000Z</dcterms:created>
  <dcterms:modified xsi:type="dcterms:W3CDTF">2021-06-02T13:38:06.3365516Z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