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937697" w:rsidP="00937697" w:rsidRDefault="00937697" w14:paraId="1640E1AF"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rsidRPr="00813662" w:rsidR="00937697" w:rsidP="00937697" w:rsidRDefault="00937697" w14:paraId="521EB7C3"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rsidRPr="00813662" w:rsidR="00937697" w:rsidP="00937697" w:rsidRDefault="00937697" w14:paraId="7F7C8EB9"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rsidRPr="00813662" w:rsidR="00937697" w:rsidP="00937697" w:rsidRDefault="00937697" w14:paraId="687C5C12"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rsidRPr="00813662" w:rsidR="00937697" w:rsidP="00937697" w:rsidRDefault="00937697" w14:paraId="05E50AF7" w14:textId="77777777">
      <w:pPr>
        <w:rPr>
          <w:rFonts w:ascii="Times New Roman" w:hAnsi="Times New Roman"/>
          <w:lang w:val="es-ES_tradnl"/>
        </w:rPr>
      </w:pPr>
    </w:p>
    <w:p w:rsidRPr="006206FF" w:rsidR="00937697" w:rsidP="00937697" w:rsidRDefault="00937697" w14:paraId="3EE252D6" w14:textId="77777777">
      <w:pPr>
        <w:shd w:val="clear" w:color="auto" w:fill="FFFFFF"/>
        <w:spacing w:line="240" w:lineRule="auto"/>
        <w:jc w:val="both"/>
        <w:rPr>
          <w:rFonts w:ascii="Times New Roman" w:hAnsi="Times New Roman" w:eastAsia="Times New Roman" w:cs="Times New Roman"/>
          <w:b/>
          <w:color w:val="auto"/>
          <w:sz w:val="24"/>
          <w:szCs w:val="24"/>
          <w:lang w:val="es-AR"/>
        </w:rPr>
      </w:pPr>
      <w:r w:rsidRPr="006206FF">
        <w:rPr>
          <w:rFonts w:ascii="Times New Roman" w:hAnsi="Times New Roman" w:eastAsia="Times New Roman" w:cs="Times New Roman"/>
          <w:b/>
          <w:color w:val="auto"/>
          <w:sz w:val="24"/>
          <w:szCs w:val="24"/>
          <w:lang w:val="es-AR"/>
        </w:rPr>
        <w:t>Anna FORNÉ</w:t>
      </w:r>
    </w:p>
    <w:p w:rsidR="00937697" w:rsidP="00937697" w:rsidRDefault="00937697" w14:paraId="0B90C2EC"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p>
    <w:p w:rsidR="00937697" w:rsidP="00937697" w:rsidRDefault="00937697" w14:paraId="4B928FC8"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r w:rsidRPr="006206FF">
        <w:rPr>
          <w:rFonts w:ascii="Times New Roman" w:hAnsi="Times New Roman" w:eastAsia="Times New Roman" w:cs="Times New Roman"/>
          <w:color w:val="auto"/>
          <w:sz w:val="24"/>
          <w:szCs w:val="24"/>
          <w:lang w:val="es-ES_tradnl"/>
        </w:rPr>
        <w:t>Universidad de Gotemburgo</w:t>
      </w:r>
    </w:p>
    <w:p w:rsidR="00937697" w:rsidP="00937697" w:rsidRDefault="00937697" w14:paraId="50A2C066"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bookmarkStart w:name="_GoBack" w:id="0"/>
      <w:bookmarkEnd w:id="0"/>
    </w:p>
    <w:p w:rsidRPr="006206FF" w:rsidR="00937697" w:rsidP="00937697" w:rsidRDefault="00937697" w14:paraId="0EBBF39B" w14:textId="77777777">
      <w:pPr>
        <w:shd w:val="clear" w:color="auto" w:fill="FFFFFF"/>
        <w:spacing w:line="240" w:lineRule="auto"/>
        <w:jc w:val="both"/>
        <w:rPr>
          <w:rFonts w:ascii="Times New Roman" w:hAnsi="Times New Roman" w:eastAsia="Times New Roman" w:cs="Times New Roman"/>
          <w:b/>
          <w:color w:val="auto"/>
          <w:sz w:val="24"/>
          <w:szCs w:val="24"/>
          <w:lang w:val="es-ES"/>
        </w:rPr>
      </w:pPr>
      <w:r>
        <w:rPr>
          <w:rFonts w:ascii="Times New Roman" w:hAnsi="Times New Roman" w:eastAsia="Times New Roman" w:cs="Times New Roman"/>
          <w:color w:val="auto"/>
          <w:sz w:val="24"/>
          <w:szCs w:val="24"/>
          <w:lang w:val="es-ES_tradnl"/>
        </w:rPr>
        <w:t xml:space="preserve">Título: </w:t>
      </w:r>
      <w:r w:rsidRPr="006206FF">
        <w:rPr>
          <w:rFonts w:ascii="Times New Roman" w:hAnsi="Times New Roman" w:eastAsia="Times New Roman" w:cs="Times New Roman"/>
          <w:b/>
          <w:color w:val="auto"/>
          <w:sz w:val="24"/>
          <w:szCs w:val="24"/>
          <w:lang w:val="es-ES_tradnl"/>
        </w:rPr>
        <w:t>“</w:t>
      </w:r>
      <w:r w:rsidRPr="006206FF">
        <w:rPr>
          <w:rFonts w:ascii="Times New Roman" w:hAnsi="Times New Roman" w:eastAsia="Times New Roman" w:cs="Times New Roman"/>
          <w:b/>
          <w:color w:val="auto"/>
          <w:sz w:val="24"/>
          <w:szCs w:val="24"/>
          <w:lang w:val="es-ES"/>
        </w:rPr>
        <w:t>Narrar el exilio desde lo material”</w:t>
      </w:r>
    </w:p>
    <w:p w:rsidR="00937697" w:rsidP="00937697" w:rsidRDefault="00937697" w14:paraId="5B7D4006" w14:textId="77777777">
      <w:pPr>
        <w:shd w:val="clear" w:color="auto" w:fill="FFFFFF"/>
        <w:spacing w:line="240" w:lineRule="auto"/>
        <w:jc w:val="both"/>
        <w:rPr>
          <w:rFonts w:ascii="Times New Roman" w:hAnsi="Times New Roman" w:eastAsia="Times New Roman" w:cs="Times New Roman"/>
          <w:color w:val="auto"/>
          <w:sz w:val="24"/>
          <w:szCs w:val="24"/>
          <w:lang w:val="es-ES"/>
        </w:rPr>
      </w:pPr>
    </w:p>
    <w:p w:rsidR="00937697" w:rsidP="00937697" w:rsidRDefault="00937697" w14:paraId="6F0E014A" w14:textId="77777777">
      <w:pPr>
        <w:shd w:val="clear" w:color="auto" w:fill="FFFFFF"/>
        <w:spacing w:line="240" w:lineRule="auto"/>
        <w:jc w:val="both"/>
        <w:rPr>
          <w:rFonts w:ascii="Times New Roman" w:hAnsi="Times New Roman" w:eastAsia="Times New Roman" w:cs="Times New Roman"/>
          <w:color w:val="auto"/>
          <w:sz w:val="24"/>
          <w:szCs w:val="24"/>
          <w:lang w:val="es-ES"/>
        </w:rPr>
      </w:pPr>
      <w:r>
        <w:rPr>
          <w:rFonts w:ascii="Times New Roman" w:hAnsi="Times New Roman" w:eastAsia="Times New Roman" w:cs="Times New Roman"/>
          <w:color w:val="auto"/>
          <w:sz w:val="24"/>
          <w:szCs w:val="24"/>
          <w:lang w:val="es-ES"/>
        </w:rPr>
        <w:t xml:space="preserve">Propuesta: </w:t>
      </w:r>
    </w:p>
    <w:p w:rsidR="00937697" w:rsidP="00937697" w:rsidRDefault="00937697" w14:paraId="07546F4B" w14:textId="77777777">
      <w:pPr>
        <w:shd w:val="clear" w:color="auto" w:fill="FFFFFF"/>
        <w:spacing w:line="240" w:lineRule="auto"/>
        <w:jc w:val="both"/>
        <w:rPr>
          <w:rFonts w:ascii="Times New Roman" w:hAnsi="Times New Roman" w:eastAsia="Times New Roman" w:cs="Times New Roman"/>
          <w:color w:val="auto"/>
          <w:sz w:val="24"/>
          <w:szCs w:val="24"/>
          <w:lang w:val="es-ES"/>
        </w:rPr>
      </w:pPr>
    </w:p>
    <w:p w:rsidR="00937697" w:rsidP="00937697" w:rsidRDefault="00937697" w14:paraId="4D3E4A04" w14:textId="77777777">
      <w:pPr>
        <w:shd w:val="clear" w:color="auto" w:fill="FFFFFF"/>
        <w:spacing w:line="240" w:lineRule="auto"/>
        <w:jc w:val="both"/>
        <w:rPr>
          <w:rFonts w:ascii="Times New Roman" w:hAnsi="Times New Roman" w:eastAsia="Times New Roman" w:cs="Times New Roman"/>
          <w:color w:val="auto"/>
          <w:sz w:val="24"/>
          <w:szCs w:val="24"/>
          <w:lang w:val="es-ES_tradnl"/>
        </w:rPr>
      </w:pPr>
      <w:r w:rsidRPr="00184D69">
        <w:rPr>
          <w:rFonts w:ascii="Times New Roman" w:hAnsi="Times New Roman" w:eastAsia="Times New Roman" w:cs="Times New Roman"/>
          <w:color w:val="auto"/>
          <w:sz w:val="24"/>
          <w:szCs w:val="24"/>
          <w:lang w:val="es-ES"/>
        </w:rPr>
        <w:t>En esta ponencia abordaré cómo en una serie de textos recientes lo material cobra significancia particular en la narración del exilio de la segunda generación. El objetivo es pensar las formas en que las memorias del desarraigo y el exilio se construyen textualmente a partir de un anclaje en los objetos descritos. Examinaré las formas en que las percepciones del presente presentan una forma de acercarse a las memorias del exilio por medio de la materialidad concreta de los objetos observados y sentidos. </w:t>
      </w:r>
      <w:r w:rsidRPr="00184D69">
        <w:rPr>
          <w:rFonts w:ascii="Times New Roman" w:hAnsi="Times New Roman" w:eastAsia="Times New Roman" w:cs="Times New Roman"/>
          <w:color w:val="auto"/>
          <w:sz w:val="24"/>
          <w:szCs w:val="24"/>
          <w:lang w:val="es-ES_tradnl"/>
        </w:rPr>
        <w:t>En particular interesa ver cómo intervienen los objetos en el proceso de crear significados, o sea, cómo nos pueden afectar los objetos y cómo esta interacción se plasma en la obra narrativa.</w:t>
      </w:r>
    </w:p>
    <w:p w:rsidRPr="00576986" w:rsidR="00937697" w:rsidP="00937697" w:rsidRDefault="00937697" w14:paraId="69AA5703" w14:textId="77777777">
      <w:pPr>
        <w:pBdr>
          <w:top w:val="none" w:color="auto" w:sz="0" w:space="0"/>
          <w:left w:val="none" w:color="auto" w:sz="0" w:space="0"/>
          <w:bottom w:val="none" w:color="auto" w:sz="0" w:space="0"/>
          <w:right w:val="none" w:color="auto" w:sz="0" w:space="0"/>
          <w:between w:val="none" w:color="auto" w:sz="0" w:space="0"/>
        </w:pBdr>
        <w:shd w:val="clear" w:color="auto" w:fill="FFFFFF"/>
        <w:spacing w:line="240" w:lineRule="auto"/>
        <w:rPr>
          <w:rFonts w:ascii="Times New Roman" w:hAnsi="Times New Roman" w:eastAsia="Times New Roman" w:cs="Times New Roman"/>
          <w:color w:val="1D2228"/>
          <w:sz w:val="24"/>
          <w:szCs w:val="24"/>
          <w:lang w:val="es-AR" w:eastAsia="en-US"/>
        </w:rPr>
      </w:pPr>
      <w:r w:rsidRPr="00576986">
        <w:rPr>
          <w:rFonts w:ascii="Times New Roman" w:hAnsi="Times New Roman" w:eastAsia="Times New Roman" w:cs="Times New Roman"/>
          <w:color w:val="1D2228"/>
          <w:sz w:val="20"/>
          <w:szCs w:val="20"/>
          <w:lang w:val="es-AR" w:eastAsia="en-US"/>
        </w:rPr>
        <w:br/>
      </w:r>
    </w:p>
    <w:p w:rsidRPr="00184D69" w:rsidR="00937697" w:rsidP="00937697" w:rsidRDefault="00937697" w14:paraId="46D90CF1" w14:textId="77777777">
      <w:pPr>
        <w:spacing w:line="240" w:lineRule="auto"/>
        <w:jc w:val="both"/>
        <w:rPr>
          <w:rFonts w:ascii="Times New Roman" w:hAnsi="Times New Roman" w:cs="Times New Roman"/>
          <w:color w:val="auto"/>
          <w:sz w:val="24"/>
          <w:szCs w:val="24"/>
          <w:lang w:val="es-AR"/>
        </w:rPr>
      </w:pPr>
    </w:p>
    <w:p w:rsidR="00937697" w:rsidP="00937697" w:rsidRDefault="00937697" w14:paraId="0FD26740" w14:textId="77777777">
      <w:pPr>
        <w:rPr>
          <w:rFonts w:ascii="Times New Roman" w:hAnsi="Times New Roman" w:cs="Times New Roman"/>
          <w:sz w:val="24"/>
          <w:szCs w:val="24"/>
          <w:lang w:val="es-AR"/>
        </w:rPr>
      </w:pPr>
      <w:r w:rsidRPr="00B82764">
        <w:rPr>
          <w:rFonts w:ascii="Times New Roman" w:hAnsi="Times New Roman" w:cs="Times New Roman"/>
          <w:sz w:val="24"/>
          <w:szCs w:val="24"/>
          <w:lang w:val="es-AR"/>
        </w:rPr>
        <w:t xml:space="preserve">Eje: </w:t>
      </w:r>
    </w:p>
    <w:p w:rsidRPr="00B82764" w:rsidR="00937697" w:rsidP="00937697" w:rsidRDefault="00937697" w14:paraId="15CFB2BB" w14:textId="77777777">
      <w:pPr>
        <w:rPr>
          <w:rFonts w:ascii="Times New Roman" w:hAnsi="Times New Roman" w:cs="Times New Roman"/>
          <w:sz w:val="24"/>
          <w:szCs w:val="24"/>
          <w:lang w:val="es-AR"/>
        </w:rPr>
      </w:pPr>
    </w:p>
    <w:p w:rsidRPr="00B82764" w:rsidR="00937697" w:rsidP="00937697" w:rsidRDefault="00937697" w14:paraId="5C08776A" w14:textId="77777777">
      <w:pPr>
        <w:rPr>
          <w:rFonts w:ascii="Times New Roman" w:hAnsi="Times New Roman" w:cs="Times New Roman"/>
          <w:b/>
          <w:sz w:val="24"/>
          <w:szCs w:val="24"/>
          <w:lang w:val="es-AR"/>
        </w:rPr>
      </w:pPr>
      <w:r w:rsidRPr="00B82764">
        <w:rPr>
          <w:rFonts w:ascii="Times New Roman" w:hAnsi="Times New Roman" w:cs="Times New Roman"/>
          <w:b/>
          <w:sz w:val="24"/>
          <w:szCs w:val="24"/>
          <w:lang w:val="es-AR"/>
        </w:rPr>
        <w:t>II) TRAMAS POLÍTICAS</w:t>
      </w:r>
    </w:p>
    <w:p w:rsidR="00937697" w:rsidP="00937697" w:rsidRDefault="00937697" w14:paraId="4BDA0249" w14:textId="77777777">
      <w:pPr>
        <w:rPr>
          <w:rFonts w:ascii="Times New Roman" w:hAnsi="Times New Roman" w:cs="Times New Roman"/>
          <w:sz w:val="24"/>
          <w:szCs w:val="24"/>
          <w:lang w:val="es-AR"/>
        </w:rPr>
      </w:pPr>
      <w:r w:rsidRPr="00B82764">
        <w:rPr>
          <w:rFonts w:ascii="Times New Roman" w:hAnsi="Times New Roman" w:cs="Times New Roman"/>
          <w:sz w:val="24"/>
          <w:szCs w:val="24"/>
          <w:lang w:val="es-AR"/>
        </w:rPr>
        <w:t>Políticas de la memoria</w:t>
      </w:r>
    </w:p>
    <w:p w:rsidR="00937697" w:rsidP="00937697" w:rsidRDefault="00937697" w14:paraId="05969020" w14:textId="77777777">
      <w:pPr>
        <w:rPr>
          <w:rFonts w:ascii="Times New Roman" w:hAnsi="Times New Roman" w:cs="Times New Roman"/>
          <w:sz w:val="24"/>
          <w:szCs w:val="24"/>
          <w:lang w:val="es-AR"/>
        </w:rPr>
      </w:pPr>
    </w:p>
    <w:p w:rsidRPr="00B82764" w:rsidR="00937697" w:rsidP="558D265E" w:rsidRDefault="00937697" w14:paraId="7C23DAC9" w14:textId="0F7DEA91">
      <w:pPr>
        <w:rPr>
          <w:rFonts w:ascii="Times New Roman" w:hAnsi="Times New Roman" w:cs="Times New Roman"/>
          <w:b w:val="1"/>
          <w:bCs w:val="1"/>
          <w:i w:val="1"/>
          <w:iCs w:val="1"/>
          <w:sz w:val="24"/>
          <w:szCs w:val="24"/>
          <w:lang w:val="es-AR"/>
        </w:rPr>
      </w:pPr>
      <w:r w:rsidRPr="558D265E" w:rsidR="00937697">
        <w:rPr>
          <w:rFonts w:ascii="Times New Roman" w:hAnsi="Times New Roman" w:cs="Times New Roman"/>
          <w:b w:val="1"/>
          <w:bCs w:val="1"/>
          <w:sz w:val="24"/>
          <w:szCs w:val="24"/>
          <w:lang w:val="es-AR"/>
        </w:rPr>
        <w:t xml:space="preserve">MESA REDONDA: </w:t>
      </w:r>
      <w:r w:rsidRPr="558D265E" w:rsidR="00937697">
        <w:rPr>
          <w:rFonts w:ascii="Times New Roman" w:hAnsi="Times New Roman" w:cs="Times New Roman"/>
          <w:b w:val="1"/>
          <w:bCs w:val="1"/>
          <w:i w:val="1"/>
          <w:iCs w:val="1"/>
          <w:sz w:val="24"/>
          <w:szCs w:val="24"/>
          <w:lang w:val="es-AR"/>
        </w:rPr>
        <w:t>El exilio en la segunda generación del Cono Sur: debates teóricos y producción cultural</w:t>
      </w:r>
      <w:r w:rsidRPr="558D265E" w:rsidR="370D200B">
        <w:rPr>
          <w:rFonts w:ascii="Times New Roman" w:hAnsi="Times New Roman" w:cs="Times New Roman"/>
          <w:b w:val="1"/>
          <w:bCs w:val="1"/>
          <w:i w:val="1"/>
          <w:iCs w:val="1"/>
          <w:sz w:val="24"/>
          <w:szCs w:val="24"/>
          <w:lang w:val="es-AR"/>
        </w:rPr>
        <w:t xml:space="preserve"> (B)</w:t>
      </w:r>
    </w:p>
    <w:p w:rsidRPr="00937697" w:rsidR="00937697" w:rsidRDefault="00937697" w14:paraId="068D55F2" w14:textId="77777777">
      <w:pPr>
        <w:rPr>
          <w:lang w:val="es-AR"/>
        </w:rPr>
      </w:pPr>
    </w:p>
    <w:sectPr w:rsidRPr="00937697" w:rsidR="0093769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697"/>
    <w:rsid w:val="00937697"/>
    <w:rsid w:val="370D200B"/>
    <w:rsid w:val="558D26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DE64A"/>
  <w15:chartTrackingRefBased/>
  <w15:docId w15:val="{A42A3AC6-AF60-4581-9BC2-F28339381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37697"/>
    <w:pPr>
      <w:pBdr>
        <w:top w:val="nil"/>
        <w:left w:val="nil"/>
        <w:bottom w:val="nil"/>
        <w:right w:val="nil"/>
        <w:between w:val="nil"/>
      </w:pBdr>
      <w:spacing w:after="0" w:line="276" w:lineRule="auto"/>
    </w:pPr>
    <w:rPr>
      <w:rFonts w:ascii="Arial" w:hAnsi="Arial" w:eastAsia="Arial" w:cs="Arial"/>
      <w:color w:val="000000"/>
      <w:lang w:val="en-US" w:eastAsia="es-A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51EC72-A2F9-42F7-8C4A-3C74A4528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394166-9057-460E-BD67-C4D583A6EDE6}">
  <ds:schemaRefs>
    <ds:schemaRef ds:uri="http://schemas.microsoft.com/sharepoint/v3/contenttype/forms"/>
  </ds:schemaRefs>
</ds:datastoreItem>
</file>

<file path=customXml/itemProps3.xml><?xml version="1.0" encoding="utf-8"?>
<ds:datastoreItem xmlns:ds="http://schemas.openxmlformats.org/officeDocument/2006/customXml" ds:itemID="{763F0479-B018-4674-B53D-3F105777C8A5}">
  <ds:schemaRefs>
    <ds:schemaRef ds:uri="ddf49191-4a0d-4f37-8b3e-014c99b2be18"/>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2021-05-29T07:33:00.0000000Z</dcterms:created>
  <dcterms:modified xsi:type="dcterms:W3CDTF">2021-06-02T12:29:07.0219139Z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