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6D054A" w:rsidP="006D054A" w:rsidRDefault="006D054A" w14:paraId="2B2058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caps/>
          <w:sz w:val="22"/>
          <w:lang w:val="es-ES_tradnl"/>
        </w:rPr>
      </w:pPr>
      <w:r w:rsidRPr="00813662">
        <w:rPr>
          <w:b/>
          <w:caps/>
          <w:sz w:val="22"/>
          <w:lang w:val="es-ES_tradnl"/>
        </w:rPr>
        <w:t>IILI 202</w:t>
      </w:r>
      <w:r>
        <w:rPr>
          <w:b/>
          <w:caps/>
          <w:sz w:val="22"/>
          <w:lang w:val="es-ES_tradnl"/>
        </w:rPr>
        <w:t>1</w:t>
      </w:r>
      <w:r w:rsidRPr="00813662">
        <w:rPr>
          <w:b/>
          <w:caps/>
          <w:sz w:val="22"/>
          <w:lang w:val="es-ES_tradnl"/>
        </w:rPr>
        <w:t xml:space="preserve"> - XLIII Congreso Internacional </w:t>
      </w:r>
    </w:p>
    <w:p w:rsidRPr="00813662" w:rsidR="006D054A" w:rsidP="006D054A" w:rsidRDefault="006D054A" w14:paraId="12E33F4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sz w:val="22"/>
          <w:lang w:val="es-ES_tradnl"/>
        </w:rPr>
      </w:pPr>
      <w:proofErr w:type="spellStart"/>
      <w:r w:rsidRPr="00813662">
        <w:rPr>
          <w:b/>
          <w:sz w:val="22"/>
          <w:lang w:val="es-ES_tradnl"/>
        </w:rPr>
        <w:t>Université</w:t>
      </w:r>
      <w:proofErr w:type="spellEnd"/>
      <w:r w:rsidRPr="00813662">
        <w:rPr>
          <w:b/>
          <w:sz w:val="22"/>
          <w:lang w:val="es-ES_tradnl"/>
        </w:rPr>
        <w:t xml:space="preserve"> de Reims Champagne-Ardennes</w:t>
      </w:r>
    </w:p>
    <w:p w:rsidRPr="00813662" w:rsidR="006D054A" w:rsidP="006D054A" w:rsidRDefault="006D054A" w14:paraId="32FEDEC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sz w:val="22"/>
          <w:lang w:val="es-ES_tradnl"/>
        </w:rPr>
      </w:pPr>
      <w:r w:rsidRPr="00813662">
        <w:rPr>
          <w:b/>
          <w:sz w:val="22"/>
          <w:lang w:val="es-ES_tradnl"/>
        </w:rPr>
        <w:t>Reims, 6-9 de julio 202</w:t>
      </w:r>
      <w:r>
        <w:rPr>
          <w:b/>
          <w:sz w:val="22"/>
          <w:lang w:val="es-ES_tradnl"/>
        </w:rPr>
        <w:t>1</w:t>
      </w:r>
    </w:p>
    <w:p w:rsidRPr="00813662" w:rsidR="006D054A" w:rsidP="006D054A" w:rsidRDefault="006D054A" w14:paraId="76B578A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i/>
          <w:color w:val="D26508"/>
          <w:sz w:val="22"/>
          <w:lang w:val="es-ES_tradnl"/>
        </w:rPr>
      </w:pPr>
      <w:r w:rsidRPr="00813662">
        <w:rPr>
          <w:b/>
          <w:i/>
          <w:color w:val="D26508"/>
          <w:sz w:val="22"/>
          <w:lang w:val="es-ES_tradnl"/>
        </w:rPr>
        <w:t xml:space="preserve">Cuerpos: miradas poéticas, significaciones políticas </w:t>
      </w:r>
    </w:p>
    <w:p w:rsidRPr="00813662" w:rsidR="006D054A" w:rsidP="006D054A" w:rsidRDefault="006D054A" w14:paraId="2AE2318D" w14:textId="77777777">
      <w:pPr>
        <w:rPr>
          <w:sz w:val="22"/>
          <w:lang w:val="es-ES_tradnl"/>
        </w:rPr>
      </w:pPr>
    </w:p>
    <w:p w:rsidR="006D054A" w:rsidP="006D054A" w:rsidRDefault="006D054A" w14:paraId="4293BF5F" w14:textId="77777777">
      <w:pPr>
        <w:spacing w:line="276" w:lineRule="auto"/>
        <w:jc w:val="both"/>
        <w:rPr>
          <w:b/>
          <w:szCs w:val="24"/>
        </w:rPr>
      </w:pPr>
      <w:r w:rsidRPr="008B5205">
        <w:rPr>
          <w:b/>
          <w:szCs w:val="24"/>
        </w:rPr>
        <w:t>Erika Helena PARRA TÉLLEZ</w:t>
      </w:r>
    </w:p>
    <w:p w:rsidRPr="008B5205" w:rsidR="006D054A" w:rsidP="006D054A" w:rsidRDefault="006D054A" w14:paraId="39216E7D" w14:textId="77777777">
      <w:pPr>
        <w:spacing w:line="276" w:lineRule="auto"/>
        <w:jc w:val="both"/>
        <w:rPr>
          <w:b/>
          <w:szCs w:val="24"/>
        </w:rPr>
      </w:pPr>
    </w:p>
    <w:p w:rsidRPr="008B5205" w:rsidR="006D054A" w:rsidP="006D054A" w:rsidRDefault="006D054A" w14:paraId="5298761E" w14:textId="77777777">
      <w:pPr>
        <w:spacing w:line="276" w:lineRule="auto"/>
        <w:jc w:val="both"/>
        <w:rPr>
          <w:szCs w:val="24"/>
        </w:rPr>
      </w:pPr>
      <w:r w:rsidRPr="008B5205">
        <w:rPr>
          <w:szCs w:val="24"/>
        </w:rPr>
        <w:t xml:space="preserve">Valdosta </w:t>
      </w:r>
      <w:proofErr w:type="spellStart"/>
      <w:r w:rsidRPr="008B5205">
        <w:rPr>
          <w:szCs w:val="24"/>
        </w:rPr>
        <w:t>University</w:t>
      </w:r>
      <w:proofErr w:type="spellEnd"/>
    </w:p>
    <w:p w:rsidR="006D054A" w:rsidP="006D054A" w:rsidRDefault="006D054A" w14:paraId="3DF84C64" w14:textId="77777777">
      <w:pPr>
        <w:pStyle w:val="NormalWeb"/>
        <w:shd w:val="clear" w:color="auto" w:fill="FFFFFF"/>
        <w:spacing w:before="0" w:beforeAutospacing="0" w:after="160" w:afterAutospacing="0" w:line="276" w:lineRule="auto"/>
        <w:jc w:val="both"/>
        <w:rPr>
          <w:iCs/>
          <w:color w:val="000000"/>
          <w:bdr w:val="none" w:color="auto" w:sz="0" w:space="0" w:frame="1"/>
          <w:lang w:val="es-ES"/>
        </w:rPr>
      </w:pPr>
      <w:bookmarkStart w:name="_Hlk21861244" w:id="0"/>
    </w:p>
    <w:p w:rsidRPr="008B5205" w:rsidR="006D054A" w:rsidP="006D054A" w:rsidRDefault="006D054A" w14:paraId="79977CF4" w14:textId="77777777">
      <w:pPr>
        <w:pStyle w:val="NormalWeb"/>
        <w:shd w:val="clear" w:color="auto" w:fill="FFFFFF"/>
        <w:spacing w:before="0" w:beforeAutospacing="0" w:after="160" w:afterAutospacing="0" w:line="276" w:lineRule="auto"/>
        <w:jc w:val="both"/>
        <w:rPr>
          <w:b/>
          <w:color w:val="000000"/>
          <w:lang w:val="es-US"/>
        </w:rPr>
      </w:pPr>
      <w:r w:rsidRPr="008B5205">
        <w:rPr>
          <w:iCs/>
          <w:color w:val="000000"/>
          <w:bdr w:val="none" w:color="auto" w:sz="0" w:space="0" w:frame="1"/>
          <w:lang w:val="es-ES"/>
        </w:rPr>
        <w:t>Título:</w:t>
      </w:r>
      <w:r>
        <w:rPr>
          <w:b/>
          <w:iCs/>
          <w:color w:val="000000"/>
          <w:bdr w:val="none" w:color="auto" w:sz="0" w:space="0" w:frame="1"/>
          <w:lang w:val="es-ES"/>
        </w:rPr>
        <w:t xml:space="preserve"> “</w:t>
      </w:r>
      <w:proofErr w:type="spellStart"/>
      <w:r w:rsidRPr="008B5205">
        <w:rPr>
          <w:b/>
          <w:i/>
          <w:iCs/>
          <w:color w:val="000000"/>
          <w:bdr w:val="none" w:color="auto" w:sz="0" w:space="0" w:frame="1"/>
          <w:lang w:val="es-ES"/>
        </w:rPr>
        <w:t>Aliens</w:t>
      </w:r>
      <w:proofErr w:type="spellEnd"/>
      <w:r w:rsidRPr="008B5205">
        <w:rPr>
          <w:b/>
          <w:color w:val="000000"/>
          <w:bdr w:val="none" w:color="auto" w:sz="0" w:space="0" w:frame="1"/>
          <w:lang w:val="es-ES"/>
        </w:rPr>
        <w:t> y fronteras en la ciencia ficción: un acto político</w:t>
      </w:r>
      <w:r>
        <w:rPr>
          <w:b/>
          <w:color w:val="000000"/>
          <w:bdr w:val="none" w:color="auto" w:sz="0" w:space="0" w:frame="1"/>
          <w:lang w:val="es-ES"/>
        </w:rPr>
        <w:t>”</w:t>
      </w:r>
    </w:p>
    <w:bookmarkEnd w:id="0"/>
    <w:p w:rsidR="006D054A" w:rsidP="006D054A" w:rsidRDefault="006D054A" w14:paraId="43A19AAC" w14:textId="77777777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bdr w:val="none" w:color="auto" w:sz="0" w:space="0" w:frame="1"/>
          <w:lang w:val="es-ES"/>
        </w:rPr>
      </w:pPr>
      <w:r>
        <w:rPr>
          <w:color w:val="000000"/>
          <w:bdr w:val="none" w:color="auto" w:sz="0" w:space="0" w:frame="1"/>
          <w:lang w:val="es-ES"/>
        </w:rPr>
        <w:t xml:space="preserve">Propuesta: </w:t>
      </w:r>
    </w:p>
    <w:p w:rsidR="006D054A" w:rsidP="006D054A" w:rsidRDefault="006D054A" w14:paraId="29B7800B" w14:textId="77777777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bdr w:val="none" w:color="auto" w:sz="0" w:space="0" w:frame="1"/>
          <w:lang w:val="es-ES"/>
        </w:rPr>
      </w:pPr>
    </w:p>
    <w:p w:rsidRPr="008B5205" w:rsidR="006D054A" w:rsidP="62CF802D" w:rsidRDefault="006D054A" w14:paraId="7FB7EB60" w14:textId="5527003C">
      <w:pPr>
        <w:pStyle w:val="NormalWeb"/>
        <w:shd w:val="clear" w:color="auto" w:fill="FFFFFF" w:themeFill="background1"/>
        <w:spacing w:before="0" w:beforeAutospacing="off" w:after="0" w:afterAutospacing="off"/>
        <w:jc w:val="both"/>
        <w:rPr>
          <w:color w:val="000000"/>
          <w:lang w:val="es-US"/>
        </w:rPr>
      </w:pPr>
      <w:r w:rsidRPr="008B5205" w:rsidR="006D054A">
        <w:rPr>
          <w:color w:val="000000"/>
          <w:bdr w:val="none" w:color="auto" w:sz="0" w:space="0" w:frame="1"/>
          <w:lang w:val="es-ES"/>
        </w:rPr>
        <w:t>Si bien en la narrativa de ciencia ficción se utiliza la palabra </w:t>
      </w:r>
      <w:proofErr w:type="spellStart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alien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> para identificar a seres de otros planetas, también se retoma esta palabra para articular la experiencia migratoria, de desplazamiento y marginalización. La palabra </w:t>
      </w:r>
      <w:proofErr w:type="spellStart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alien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> (alienar, alienación) se deriva de alienar, significando “enajenar” o producir “alienación” (RAE). El significado político de </w:t>
      </w:r>
      <w:proofErr w:type="spellStart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alien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>, asimismo, se utiliza en Europa para debatir la falta de derechos políticos y sociales de los migrantes. En la ficción narrativa, identificamos el referente en la escritora chicana Gloria Anzaldúa quien describe la subjetividad </w:t>
      </w:r>
      <w:proofErr w:type="spellStart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alien</w:t>
      </w:r>
      <w:proofErr w:type="spellEnd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 </w:t>
      </w:r>
      <w:r w:rsidRPr="008B5205" w:rsidR="006D054A">
        <w:rPr>
          <w:color w:val="000000"/>
          <w:bdr w:val="none" w:color="auto" w:sz="0" w:space="0" w:frame="1"/>
          <w:lang w:val="es-ES"/>
        </w:rPr>
        <w:t>como transgresora – sin importar que los transgresores tengan o no documentos. De tal manera que para esta conferencia nos interesa discutir las representaciones de </w:t>
      </w:r>
      <w:proofErr w:type="spellStart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aliens</w:t>
      </w:r>
      <w:proofErr w:type="spellEnd"/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 </w:t>
      </w:r>
      <w:r w:rsidRPr="008B5205" w:rsidR="006D054A">
        <w:rPr>
          <w:color w:val="000000"/>
          <w:bdr w:val="none" w:color="auto" w:sz="0" w:space="0" w:frame="1"/>
          <w:lang w:val="es-ES"/>
        </w:rPr>
        <w:t>en las narrativas de ciencia ficción cuyo referente geopolítico es </w:t>
      </w:r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la frontera</w:t>
      </w:r>
      <w:r w:rsidRPr="008B5205" w:rsidR="006D054A">
        <w:rPr>
          <w:color w:val="000000"/>
          <w:bdr w:val="none" w:color="auto" w:sz="0" w:space="0" w:frame="1"/>
          <w:lang w:val="es-ES"/>
        </w:rPr>
        <w:t> mexicano-</w:t>
      </w:r>
      <w:r w:rsidRPr="008B5205" w:rsidR="006D054A">
        <w:rPr>
          <w:color w:val="000000"/>
          <w:bdr w:val="none" w:color="auto" w:sz="0" w:space="0" w:frame="1"/>
          <w:lang w:val="es-ES"/>
        </w:rPr>
        <w:t>estadounidense</w:t>
      </w:r>
      <w:r w:rsidRPr="008B5205" w:rsidR="6D17B523">
        <w:rPr>
          <w:color w:val="000000"/>
          <w:bdr w:val="none" w:color="auto" w:sz="0" w:space="0" w:frame="1"/>
          <w:lang w:val="es-ES"/>
        </w:rPr>
        <w:t>.</w:t>
      </w:r>
      <w:r w:rsidRPr="008B5205" w:rsidR="006D054A">
        <w:rPr>
          <w:color w:val="000000"/>
          <w:bdr w:val="none" w:color="auto" w:sz="0" w:space="0" w:frame="1"/>
          <w:lang w:val="es-ES"/>
        </w:rPr>
        <w:t xml:space="preserve"> Por ejemplo, en el cuento de los escritores mexicanos Guillermo Lavín, “</w:t>
      </w:r>
      <w:proofErr w:type="spellStart"/>
      <w:r w:rsidRPr="008B5205" w:rsidR="006D054A">
        <w:rPr>
          <w:color w:val="000000"/>
          <w:bdr w:val="none" w:color="auto" w:sz="0" w:space="0" w:frame="1"/>
          <w:lang w:val="es-ES"/>
        </w:rPr>
        <w:t>Reaching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 xml:space="preserve"> </w:t>
      </w:r>
      <w:proofErr w:type="spellStart"/>
      <w:r w:rsidRPr="008B5205" w:rsidR="006D054A">
        <w:rPr>
          <w:color w:val="000000"/>
          <w:bdr w:val="none" w:color="auto" w:sz="0" w:space="0" w:frame="1"/>
          <w:lang w:val="es-ES"/>
        </w:rPr>
        <w:t>the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 xml:space="preserve"> shore” (1994), o Pepe Rojo “Gray </w:t>
      </w:r>
      <w:proofErr w:type="spellStart"/>
      <w:r w:rsidRPr="008B5205" w:rsidR="006D054A">
        <w:rPr>
          <w:color w:val="000000"/>
          <w:bdr w:val="none" w:color="auto" w:sz="0" w:space="0" w:frame="1"/>
          <w:lang w:val="es-ES"/>
        </w:rPr>
        <w:t>Noise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 xml:space="preserve">” o la novela de la </w:t>
      </w:r>
      <w:proofErr w:type="spellStart"/>
      <w:r w:rsidRPr="008B5205" w:rsidR="006D054A">
        <w:rPr>
          <w:color w:val="000000"/>
          <w:bdr w:val="none" w:color="auto" w:sz="0" w:space="0" w:frame="1"/>
          <w:lang w:val="es-ES"/>
        </w:rPr>
        <w:t>Chicanofuturista</w:t>
      </w:r>
      <w:proofErr w:type="spellEnd"/>
      <w:r w:rsidRPr="008B5205" w:rsidR="006D054A">
        <w:rPr>
          <w:color w:val="000000"/>
          <w:bdr w:val="none" w:color="auto" w:sz="0" w:space="0" w:frame="1"/>
          <w:lang w:val="es-ES"/>
        </w:rPr>
        <w:t xml:space="preserve"> Beatrice Pita, </w:t>
      </w:r>
      <w:r w:rsidRPr="62CF802D" w:rsidR="006D054A">
        <w:rPr>
          <w:i w:val="1"/>
          <w:iCs w:val="1"/>
          <w:color w:val="000000"/>
          <w:bdr w:val="none" w:color="auto" w:sz="0" w:space="0" w:frame="1"/>
          <w:lang w:val="es-ES"/>
        </w:rPr>
        <w:t>Lunar bracero </w:t>
      </w:r>
      <w:r w:rsidRPr="008B5205" w:rsidR="006D054A">
        <w:rPr>
          <w:color w:val="000000"/>
          <w:bdr w:val="none" w:color="auto" w:sz="0" w:space="0" w:frame="1"/>
          <w:lang w:val="es-ES"/>
        </w:rPr>
        <w:t>(2009).</w:t>
      </w:r>
    </w:p>
    <w:p w:rsidR="006D054A" w:rsidP="006D054A" w:rsidRDefault="006D054A" w14:paraId="4DCDC9B8" w14:textId="77777777">
      <w:pPr>
        <w:spacing w:line="276" w:lineRule="auto"/>
        <w:jc w:val="both"/>
        <w:rPr>
          <w:szCs w:val="24"/>
          <w:lang w:val="es-US"/>
        </w:rPr>
      </w:pPr>
    </w:p>
    <w:p w:rsidR="006D054A" w:rsidP="006D054A" w:rsidRDefault="006D054A" w14:paraId="6AC07DD2" w14:textId="77777777">
      <w:pPr>
        <w:spacing w:line="276" w:lineRule="auto"/>
        <w:jc w:val="both"/>
        <w:rPr>
          <w:szCs w:val="24"/>
          <w:lang w:val="es-US"/>
        </w:rPr>
      </w:pPr>
      <w:bookmarkStart w:name="_GoBack" w:id="1"/>
      <w:bookmarkEnd w:id="1"/>
      <w:r>
        <w:rPr>
          <w:szCs w:val="24"/>
          <w:lang w:val="es-US"/>
        </w:rPr>
        <w:t xml:space="preserve">Eje: </w:t>
      </w:r>
    </w:p>
    <w:p w:rsidR="006D054A" w:rsidP="006D054A" w:rsidRDefault="006D054A" w14:paraId="75A7C34B" w14:textId="77777777">
      <w:pPr>
        <w:spacing w:line="276" w:lineRule="auto"/>
        <w:jc w:val="both"/>
        <w:rPr>
          <w:szCs w:val="24"/>
          <w:lang w:val="es-US"/>
        </w:rPr>
      </w:pPr>
    </w:p>
    <w:p w:rsidRPr="008B5205" w:rsidR="006D054A" w:rsidP="006D054A" w:rsidRDefault="006D054A" w14:paraId="3FFC0490" w14:textId="77777777">
      <w:pPr>
        <w:spacing w:line="276" w:lineRule="auto"/>
        <w:jc w:val="both"/>
        <w:rPr>
          <w:b/>
          <w:szCs w:val="24"/>
          <w:lang w:val="es-US"/>
        </w:rPr>
      </w:pPr>
      <w:r w:rsidRPr="008B5205">
        <w:rPr>
          <w:b/>
          <w:szCs w:val="24"/>
          <w:lang w:val="es-US"/>
        </w:rPr>
        <w:t>I) CUERPOS, ESCRITURAS CRÍTICAS</w:t>
      </w:r>
    </w:p>
    <w:p w:rsidRPr="008B5205" w:rsidR="006D054A" w:rsidP="006D054A" w:rsidRDefault="006D054A" w14:paraId="4247ECF1" w14:textId="77777777">
      <w:pPr>
        <w:spacing w:line="276" w:lineRule="auto"/>
        <w:jc w:val="both"/>
        <w:rPr>
          <w:szCs w:val="24"/>
          <w:lang w:val="es-US"/>
        </w:rPr>
      </w:pPr>
      <w:r>
        <w:rPr>
          <w:szCs w:val="24"/>
          <w:lang w:val="es-US"/>
        </w:rPr>
        <w:t xml:space="preserve">Monstruos, </w:t>
      </w:r>
      <w:proofErr w:type="spellStart"/>
      <w:r>
        <w:rPr>
          <w:szCs w:val="24"/>
          <w:lang w:val="es-US"/>
        </w:rPr>
        <w:t>aliens</w:t>
      </w:r>
      <w:proofErr w:type="spellEnd"/>
      <w:r>
        <w:rPr>
          <w:szCs w:val="24"/>
          <w:lang w:val="es-US"/>
        </w:rPr>
        <w:t>, seres errantes, exiliados</w:t>
      </w:r>
    </w:p>
    <w:p w:rsidR="006D054A" w:rsidP="006D054A" w:rsidRDefault="006D054A" w14:paraId="5C59B137" w14:textId="77777777">
      <w:pPr>
        <w:spacing w:line="276" w:lineRule="auto"/>
        <w:jc w:val="both"/>
        <w:rPr>
          <w:szCs w:val="24"/>
          <w:lang w:val="es-MX"/>
        </w:rPr>
      </w:pPr>
    </w:p>
    <w:p w:rsidRPr="008B5205" w:rsidR="006D054A" w:rsidP="006D054A" w:rsidRDefault="006D054A" w14:paraId="77F078BF" w14:textId="77777777">
      <w:pPr>
        <w:spacing w:line="276" w:lineRule="auto"/>
        <w:jc w:val="both"/>
        <w:rPr>
          <w:b/>
          <w:i/>
          <w:szCs w:val="24"/>
          <w:lang w:val="es-US"/>
        </w:rPr>
      </w:pPr>
      <w:r w:rsidRPr="008B5205">
        <w:rPr>
          <w:b/>
          <w:szCs w:val="24"/>
          <w:lang w:val="es-US"/>
        </w:rPr>
        <w:t xml:space="preserve">MESA REDONDA: </w:t>
      </w:r>
      <w:r w:rsidRPr="008B5205">
        <w:rPr>
          <w:b/>
          <w:i/>
          <w:szCs w:val="24"/>
          <w:lang w:val="es-US"/>
        </w:rPr>
        <w:t>Mitos, ciencia ficción e historia en la literatura latinoamericana del siglo XX</w:t>
      </w:r>
    </w:p>
    <w:p w:rsidR="006D054A" w:rsidP="006D054A" w:rsidRDefault="006D054A" w14:paraId="5F553B8F" w14:textId="77777777">
      <w:pPr>
        <w:spacing w:line="276" w:lineRule="auto"/>
        <w:jc w:val="both"/>
        <w:rPr>
          <w:szCs w:val="24"/>
          <w:lang w:val="es-US"/>
        </w:rPr>
      </w:pPr>
    </w:p>
    <w:p w:rsidRPr="00B05964" w:rsidR="006D054A" w:rsidP="006D054A" w:rsidRDefault="006D054A" w14:paraId="63DAC6AC" w14:textId="77777777">
      <w:pPr>
        <w:spacing w:line="276" w:lineRule="auto"/>
        <w:jc w:val="both"/>
        <w:rPr>
          <w:szCs w:val="24"/>
          <w:lang w:val="es-US"/>
        </w:rPr>
      </w:pPr>
    </w:p>
    <w:p w:rsidRPr="006D054A" w:rsidR="006D054A" w:rsidRDefault="006D054A" w14:paraId="5B0499A3" w14:textId="77777777">
      <w:pPr>
        <w:rPr>
          <w:lang w:val="es-US"/>
        </w:rPr>
      </w:pPr>
    </w:p>
    <w:sectPr w:rsidRPr="006D054A" w:rsidR="006D054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54A"/>
    <w:rsid w:val="006D054A"/>
    <w:rsid w:val="62CF802D"/>
    <w:rsid w:val="6D17B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6CA9"/>
  <w15:chartTrackingRefBased/>
  <w15:docId w15:val="{0625D8E6-F149-4F91-B17C-1B99BE87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D054A"/>
    <w:pPr>
      <w:spacing w:after="0" w:line="240" w:lineRule="auto"/>
    </w:pPr>
    <w:rPr>
      <w:rFonts w:ascii="Times New Roman" w:hAnsi="Times New Roman" w:eastAsia="Calibri" w:cs="Times New Roman"/>
      <w:sz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054A"/>
    <w:pPr>
      <w:spacing w:before="100" w:beforeAutospacing="1" w:after="100" w:afterAutospacing="1"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1C2BB6-2555-426D-BC4C-9AB591A11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2FC849-6197-44D3-9896-DDD1FBB4A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54ABD-3BFF-44EB-B4DD-66838B2A7228}">
  <ds:schemaRefs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2021-05-28T14:49:00.0000000Z</dcterms:created>
  <dcterms:modified xsi:type="dcterms:W3CDTF">2021-06-02T14:09:27.8909116Z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