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8061B" w14:textId="77777777" w:rsidR="00B6277F" w:rsidRPr="00813662" w:rsidRDefault="00B6277F" w:rsidP="00B6277F">
      <w:pPr>
        <w:pBdr>
          <w:top w:val="single" w:sz="4" w:space="1" w:color="auto"/>
          <w:left w:val="single" w:sz="4" w:space="4" w:color="auto"/>
          <w:bottom w:val="single" w:sz="4" w:space="1" w:color="auto"/>
          <w:right w:val="single" w:sz="4" w:space="4" w:color="auto"/>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14:paraId="157F18F8" w14:textId="77777777" w:rsidR="00B6277F" w:rsidRPr="00813662" w:rsidRDefault="00B6277F" w:rsidP="00B6277F">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14:paraId="47EDAFCB" w14:textId="77777777" w:rsidR="00B6277F" w:rsidRPr="00813662" w:rsidRDefault="00B6277F" w:rsidP="00B6277F">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14:paraId="047DE673" w14:textId="77777777" w:rsidR="00B6277F" w:rsidRPr="00813662" w:rsidRDefault="00B6277F" w:rsidP="00B6277F">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14:paraId="6CFE8C3C" w14:textId="77777777" w:rsidR="00B6277F" w:rsidRPr="00813662" w:rsidRDefault="00B6277F" w:rsidP="00B6277F">
      <w:pPr>
        <w:rPr>
          <w:rFonts w:ascii="Times New Roman" w:hAnsi="Times New Roman"/>
          <w:lang w:val="es-ES_tradnl"/>
        </w:rPr>
      </w:pPr>
    </w:p>
    <w:p w14:paraId="7C56DE6B" w14:textId="2EF6FBA6" w:rsidR="00B6277F" w:rsidRPr="006206FF" w:rsidRDefault="00B6277F" w:rsidP="00B6277F">
      <w:pPr>
        <w:pStyle w:val="yiv0009328553msonormal"/>
        <w:shd w:val="clear" w:color="auto" w:fill="FFFFFF"/>
        <w:spacing w:before="0" w:beforeAutospacing="0" w:after="0" w:afterAutospacing="0"/>
        <w:jc w:val="both"/>
        <w:rPr>
          <w:b/>
          <w:lang w:val="es-ES"/>
        </w:rPr>
      </w:pPr>
      <w:bookmarkStart w:id="0" w:name="_GoBack"/>
      <w:bookmarkEnd w:id="0"/>
      <w:r w:rsidRPr="006206FF">
        <w:rPr>
          <w:b/>
          <w:lang w:val="es-ES"/>
        </w:rPr>
        <w:t>Verónica ESTAY STANGE</w:t>
      </w:r>
    </w:p>
    <w:p w14:paraId="2B9F9C31" w14:textId="77777777" w:rsidR="00B6277F" w:rsidRPr="006206FF" w:rsidRDefault="00B6277F" w:rsidP="00B6277F">
      <w:pPr>
        <w:pStyle w:val="yiv0009328553msonormal"/>
        <w:shd w:val="clear" w:color="auto" w:fill="FFFFFF"/>
        <w:spacing w:before="0" w:beforeAutospacing="0" w:after="0" w:afterAutospacing="0"/>
        <w:jc w:val="both"/>
        <w:rPr>
          <w:lang w:val="es-ES"/>
        </w:rPr>
      </w:pPr>
    </w:p>
    <w:p w14:paraId="2537DE3E" w14:textId="77777777" w:rsidR="00B6277F" w:rsidRPr="006206FF" w:rsidRDefault="00B6277F" w:rsidP="00B6277F">
      <w:pPr>
        <w:pStyle w:val="yiv0009328553msonormal"/>
        <w:shd w:val="clear" w:color="auto" w:fill="FFFFFF"/>
        <w:spacing w:before="0" w:beforeAutospacing="0" w:after="0" w:afterAutospacing="0"/>
        <w:jc w:val="both"/>
        <w:rPr>
          <w:lang w:val="es-ES"/>
        </w:rPr>
      </w:pPr>
      <w:r w:rsidRPr="006206FF">
        <w:rPr>
          <w:lang w:val="es-ES"/>
        </w:rPr>
        <w:t>Universidad Paris 8</w:t>
      </w:r>
    </w:p>
    <w:p w14:paraId="6B55AD37" w14:textId="77777777" w:rsidR="00B6277F" w:rsidRPr="006206FF" w:rsidRDefault="00B6277F" w:rsidP="00B6277F">
      <w:pPr>
        <w:pStyle w:val="yiv0009328553msonormal"/>
        <w:shd w:val="clear" w:color="auto" w:fill="FFFFFF"/>
        <w:spacing w:before="0" w:beforeAutospacing="0" w:after="0" w:afterAutospacing="0"/>
        <w:jc w:val="both"/>
        <w:rPr>
          <w:lang w:val="es-ES"/>
        </w:rPr>
      </w:pPr>
    </w:p>
    <w:p w14:paraId="50E2F5C4" w14:textId="77777777" w:rsidR="00B6277F" w:rsidRDefault="00B6277F" w:rsidP="00B6277F">
      <w:pPr>
        <w:pStyle w:val="yiv0009328553msonormal"/>
        <w:shd w:val="clear" w:color="auto" w:fill="FFFFFF"/>
        <w:spacing w:before="0" w:beforeAutospacing="0" w:after="0" w:afterAutospacing="0"/>
        <w:jc w:val="both"/>
        <w:rPr>
          <w:b/>
          <w:lang w:val="es-ES"/>
        </w:rPr>
      </w:pPr>
      <w:r>
        <w:rPr>
          <w:lang w:val="es-ES"/>
        </w:rPr>
        <w:t xml:space="preserve">Título: </w:t>
      </w:r>
      <w:r w:rsidRPr="006206FF">
        <w:rPr>
          <w:b/>
          <w:lang w:val="es-ES"/>
        </w:rPr>
        <w:t>“El exilio interior”</w:t>
      </w:r>
    </w:p>
    <w:p w14:paraId="2DFB3180" w14:textId="77777777" w:rsidR="00B6277F" w:rsidRDefault="00B6277F" w:rsidP="00B6277F">
      <w:pPr>
        <w:pStyle w:val="yiv0009328553msonormal"/>
        <w:shd w:val="clear" w:color="auto" w:fill="FFFFFF"/>
        <w:spacing w:before="0" w:beforeAutospacing="0" w:after="0" w:afterAutospacing="0"/>
        <w:jc w:val="both"/>
        <w:rPr>
          <w:lang w:val="es-ES"/>
        </w:rPr>
      </w:pPr>
    </w:p>
    <w:p w14:paraId="18A6D86A" w14:textId="77777777" w:rsidR="00B6277F" w:rsidRDefault="00B6277F" w:rsidP="00B6277F">
      <w:pPr>
        <w:pStyle w:val="yiv0009328553msonormal"/>
        <w:shd w:val="clear" w:color="auto" w:fill="FFFFFF"/>
        <w:spacing w:before="0" w:beforeAutospacing="0" w:after="0" w:afterAutospacing="0"/>
        <w:jc w:val="both"/>
        <w:rPr>
          <w:lang w:val="es-ES"/>
        </w:rPr>
      </w:pPr>
      <w:r>
        <w:rPr>
          <w:lang w:val="es-ES"/>
        </w:rPr>
        <w:t xml:space="preserve">Propuesta: </w:t>
      </w:r>
    </w:p>
    <w:p w14:paraId="53C916F9" w14:textId="77777777" w:rsidR="00B6277F" w:rsidRPr="006206FF" w:rsidRDefault="00B6277F" w:rsidP="00B6277F">
      <w:pPr>
        <w:pStyle w:val="yiv0009328553msonormal"/>
        <w:shd w:val="clear" w:color="auto" w:fill="FFFFFF"/>
        <w:spacing w:before="0" w:beforeAutospacing="0" w:after="0" w:afterAutospacing="0"/>
        <w:jc w:val="both"/>
        <w:rPr>
          <w:lang w:val="es-ES"/>
        </w:rPr>
      </w:pPr>
    </w:p>
    <w:p w14:paraId="64833EB3" w14:textId="77777777" w:rsidR="00B6277F" w:rsidRPr="006D0375" w:rsidRDefault="00B6277F" w:rsidP="00B6277F">
      <w:pPr>
        <w:spacing w:line="240" w:lineRule="auto"/>
        <w:jc w:val="both"/>
        <w:rPr>
          <w:rFonts w:ascii="Times New Roman" w:eastAsia="Times New Roman" w:hAnsi="Times New Roman" w:cs="Times New Roman"/>
          <w:color w:val="1D2228"/>
          <w:sz w:val="24"/>
          <w:szCs w:val="24"/>
          <w:lang w:val="es-ES_tradnl" w:eastAsia="en-US"/>
        </w:rPr>
      </w:pPr>
      <w:r w:rsidRPr="00C01A0E">
        <w:rPr>
          <w:rFonts w:ascii="Times New Roman" w:eastAsia="Times New Roman" w:hAnsi="Times New Roman" w:cs="Times New Roman"/>
          <w:color w:val="1D2228"/>
          <w:sz w:val="24"/>
          <w:szCs w:val="24"/>
          <w:lang w:val="es-ES" w:eastAsia="en-US"/>
        </w:rPr>
        <w:t xml:space="preserve">Distintos trabajos centrados en el problema de la </w:t>
      </w:r>
      <w:proofErr w:type="spellStart"/>
      <w:r w:rsidRPr="00C01A0E">
        <w:rPr>
          <w:rFonts w:ascii="Times New Roman" w:eastAsia="Times New Roman" w:hAnsi="Times New Roman" w:cs="Times New Roman"/>
          <w:color w:val="1D2228"/>
          <w:sz w:val="24"/>
          <w:szCs w:val="24"/>
          <w:lang w:val="es-ES" w:eastAsia="en-US"/>
        </w:rPr>
        <w:t>postmemoria</w:t>
      </w:r>
      <w:proofErr w:type="spellEnd"/>
      <w:r w:rsidRPr="00C01A0E">
        <w:rPr>
          <w:rFonts w:ascii="Times New Roman" w:eastAsia="Times New Roman" w:hAnsi="Times New Roman" w:cs="Times New Roman"/>
          <w:color w:val="1D2228"/>
          <w:sz w:val="24"/>
          <w:szCs w:val="24"/>
          <w:lang w:val="es-ES" w:eastAsia="en-US"/>
        </w:rPr>
        <w:t xml:space="preserve"> y la transmisión generacional del traumatismo, tanto </w:t>
      </w:r>
      <w:r w:rsidRPr="006D0375">
        <w:rPr>
          <w:rFonts w:ascii="Times New Roman" w:eastAsia="Times New Roman" w:hAnsi="Times New Roman" w:cs="Times New Roman"/>
          <w:color w:val="1D2228"/>
          <w:sz w:val="24"/>
          <w:szCs w:val="24"/>
          <w:lang w:val="es-ES_tradnl" w:eastAsia="en-US"/>
        </w:rPr>
        <w:t xml:space="preserve">en literatura como en psicoanálisis, han mostrado que lo que se transmite en este caso, además de contenidos precisos, es también un </w:t>
      </w:r>
      <w:r w:rsidRPr="006D0375">
        <w:rPr>
          <w:rFonts w:ascii="Times New Roman" w:eastAsia="Times New Roman" w:hAnsi="Times New Roman" w:cs="Times New Roman"/>
          <w:i/>
          <w:color w:val="1D2228"/>
          <w:sz w:val="24"/>
          <w:szCs w:val="24"/>
          <w:lang w:val="es-ES_tradnl" w:eastAsia="en-US"/>
        </w:rPr>
        <w:t>vacío</w:t>
      </w:r>
      <w:r w:rsidRPr="006D0375">
        <w:rPr>
          <w:rFonts w:ascii="Times New Roman" w:eastAsia="Times New Roman" w:hAnsi="Times New Roman" w:cs="Times New Roman"/>
          <w:color w:val="1D2228"/>
          <w:sz w:val="24"/>
          <w:szCs w:val="24"/>
          <w:lang w:val="es-ES_tradnl" w:eastAsia="en-US"/>
        </w:rPr>
        <w:t xml:space="preserve"> que tiene que ver con la ausencia de la experiencia no vivida, cuyas consecuencias sin embargo son padecidas por los descendientes de los actores directos del acontecimiento. En este marco, abordaré el problema de la segunda generación del exilio planteando como hipótesis que los relatos y emociones vinculados con un país del que poco o ningún conocimiento se tiene dan lugar a configuraciones que, más allá de la dimensión propiamente geográfica y espacial, se extienden a las distintas dimensiones de la subjetividad, en una suerte de </w:t>
      </w:r>
      <w:r w:rsidRPr="006D0375">
        <w:rPr>
          <w:rFonts w:ascii="Times New Roman" w:eastAsia="Times New Roman" w:hAnsi="Times New Roman" w:cs="Times New Roman"/>
          <w:i/>
          <w:color w:val="1D2228"/>
          <w:sz w:val="24"/>
          <w:szCs w:val="24"/>
          <w:lang w:val="es-ES_tradnl" w:eastAsia="en-US"/>
        </w:rPr>
        <w:t>interiorización del exilio</w:t>
      </w:r>
      <w:r w:rsidRPr="006D0375">
        <w:rPr>
          <w:rFonts w:ascii="Times New Roman" w:eastAsia="Times New Roman" w:hAnsi="Times New Roman" w:cs="Times New Roman"/>
          <w:color w:val="1D2228"/>
          <w:sz w:val="24"/>
          <w:szCs w:val="24"/>
          <w:lang w:val="es-ES_tradnl" w:eastAsia="en-US"/>
        </w:rPr>
        <w:t xml:space="preserve">. A partir del análisis de textos literarios provenientes de América del Sur (Chile, Argentina), trataré pues de mostrar que el discurso de los “hijos del exilio” está marcado por la carencia y por la búsqueda de un retorno siempre postergado y en definitiva imposible, en la medida en que tiene que ver no ya con un país determinado, sino también con una época y, en última instancia, con una condición existencial. </w:t>
      </w:r>
    </w:p>
    <w:p w14:paraId="1A09369E" w14:textId="77777777" w:rsidR="00B6277F" w:rsidRDefault="00B6277F">
      <w:pPr>
        <w:rPr>
          <w:lang w:val="es-ES_tradnl"/>
        </w:rPr>
      </w:pPr>
    </w:p>
    <w:p w14:paraId="6E80F9DA" w14:textId="77777777" w:rsidR="00B6277F" w:rsidRDefault="00B6277F" w:rsidP="00B6277F">
      <w:pPr>
        <w:rPr>
          <w:rFonts w:ascii="Times New Roman" w:hAnsi="Times New Roman" w:cs="Times New Roman"/>
          <w:sz w:val="24"/>
          <w:szCs w:val="24"/>
          <w:lang w:val="es-AR"/>
        </w:rPr>
      </w:pPr>
      <w:r w:rsidRPr="00B82764">
        <w:rPr>
          <w:rFonts w:ascii="Times New Roman" w:hAnsi="Times New Roman" w:cs="Times New Roman"/>
          <w:sz w:val="24"/>
          <w:szCs w:val="24"/>
          <w:lang w:val="es-AR"/>
        </w:rPr>
        <w:t xml:space="preserve">Eje: </w:t>
      </w:r>
    </w:p>
    <w:p w14:paraId="64FE11B6" w14:textId="77777777" w:rsidR="00B6277F" w:rsidRPr="00B82764" w:rsidRDefault="00B6277F" w:rsidP="00B6277F">
      <w:pPr>
        <w:rPr>
          <w:rFonts w:ascii="Times New Roman" w:hAnsi="Times New Roman" w:cs="Times New Roman"/>
          <w:sz w:val="24"/>
          <w:szCs w:val="24"/>
          <w:lang w:val="es-AR"/>
        </w:rPr>
      </w:pPr>
    </w:p>
    <w:p w14:paraId="01FA5427" w14:textId="77777777" w:rsidR="00B6277F" w:rsidRPr="00B82764" w:rsidRDefault="00B6277F" w:rsidP="00B6277F">
      <w:pPr>
        <w:rPr>
          <w:rFonts w:ascii="Times New Roman" w:hAnsi="Times New Roman" w:cs="Times New Roman"/>
          <w:b/>
          <w:sz w:val="24"/>
          <w:szCs w:val="24"/>
          <w:lang w:val="es-AR"/>
        </w:rPr>
      </w:pPr>
      <w:r w:rsidRPr="00B82764">
        <w:rPr>
          <w:rFonts w:ascii="Times New Roman" w:hAnsi="Times New Roman" w:cs="Times New Roman"/>
          <w:b/>
          <w:sz w:val="24"/>
          <w:szCs w:val="24"/>
          <w:lang w:val="es-AR"/>
        </w:rPr>
        <w:t>II) TRAMAS POLÍTICAS</w:t>
      </w:r>
    </w:p>
    <w:p w14:paraId="7B7B1842" w14:textId="77777777" w:rsidR="00B6277F" w:rsidRDefault="00B6277F" w:rsidP="00B6277F">
      <w:pPr>
        <w:rPr>
          <w:rFonts w:ascii="Times New Roman" w:hAnsi="Times New Roman" w:cs="Times New Roman"/>
          <w:sz w:val="24"/>
          <w:szCs w:val="24"/>
          <w:lang w:val="es-AR"/>
        </w:rPr>
      </w:pPr>
      <w:r w:rsidRPr="00B82764">
        <w:rPr>
          <w:rFonts w:ascii="Times New Roman" w:hAnsi="Times New Roman" w:cs="Times New Roman"/>
          <w:sz w:val="24"/>
          <w:szCs w:val="24"/>
          <w:lang w:val="es-AR"/>
        </w:rPr>
        <w:t>Políticas de la memoria</w:t>
      </w:r>
    </w:p>
    <w:p w14:paraId="3C5E8FBE" w14:textId="77777777" w:rsidR="00B6277F" w:rsidRDefault="00B6277F" w:rsidP="00B6277F">
      <w:pPr>
        <w:rPr>
          <w:rFonts w:ascii="Times New Roman" w:hAnsi="Times New Roman" w:cs="Times New Roman"/>
          <w:sz w:val="24"/>
          <w:szCs w:val="24"/>
          <w:lang w:val="es-AR"/>
        </w:rPr>
      </w:pPr>
    </w:p>
    <w:p w14:paraId="12BD4EDB" w14:textId="77777777" w:rsidR="00B6277F" w:rsidRPr="00B82764" w:rsidRDefault="00B6277F" w:rsidP="00B6277F">
      <w:pPr>
        <w:rPr>
          <w:rFonts w:ascii="Times New Roman" w:hAnsi="Times New Roman" w:cs="Times New Roman"/>
          <w:b/>
          <w:i/>
          <w:sz w:val="24"/>
          <w:szCs w:val="24"/>
          <w:lang w:val="es-AR"/>
        </w:rPr>
      </w:pPr>
      <w:r w:rsidRPr="00B82764">
        <w:rPr>
          <w:rFonts w:ascii="Times New Roman" w:hAnsi="Times New Roman" w:cs="Times New Roman"/>
          <w:b/>
          <w:sz w:val="24"/>
          <w:szCs w:val="24"/>
          <w:lang w:val="es-AR"/>
        </w:rPr>
        <w:t xml:space="preserve">MESA REDONDA: </w:t>
      </w:r>
      <w:r w:rsidRPr="00B82764">
        <w:rPr>
          <w:rFonts w:ascii="Times New Roman" w:hAnsi="Times New Roman" w:cs="Times New Roman"/>
          <w:b/>
          <w:i/>
          <w:sz w:val="24"/>
          <w:szCs w:val="24"/>
          <w:lang w:val="es-AR"/>
        </w:rPr>
        <w:t>El exilio en la segunda generación del Cono Sur: debates teóricos y producción cultural</w:t>
      </w:r>
    </w:p>
    <w:p w14:paraId="0386F171" w14:textId="77777777" w:rsidR="00B6277F" w:rsidRPr="00B6277F" w:rsidRDefault="00B6277F">
      <w:pPr>
        <w:rPr>
          <w:lang w:val="es-AR"/>
        </w:rPr>
      </w:pPr>
    </w:p>
    <w:sectPr w:rsidR="00B6277F" w:rsidRPr="00B62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77F"/>
    <w:rsid w:val="007715CE"/>
    <w:rsid w:val="00B6277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E3984"/>
  <w15:chartTrackingRefBased/>
  <w15:docId w15:val="{A71AD343-961F-46AE-9E29-96D6C4A7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77F"/>
    <w:pPr>
      <w:pBdr>
        <w:top w:val="nil"/>
        <w:left w:val="nil"/>
        <w:bottom w:val="nil"/>
        <w:right w:val="nil"/>
        <w:between w:val="nil"/>
      </w:pBdr>
      <w:spacing w:after="0" w:line="276" w:lineRule="auto"/>
    </w:pPr>
    <w:rPr>
      <w:rFonts w:ascii="Arial" w:eastAsia="Arial" w:hAnsi="Arial" w:cs="Arial"/>
      <w:color w:val="000000"/>
      <w:lang w:val="en-US" w:eastAsia="es-A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yiv0009328553msonormal">
    <w:name w:val="yiv0009328553msonormal"/>
    <w:basedOn w:val="Normal"/>
    <w:rsid w:val="00B6277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98EB96-13BB-4102-A5E4-B6A607EB38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4A7EEE-E25A-4DCA-9245-70E856DF8638}">
  <ds:schemaRefs>
    <ds:schemaRef ds:uri="http://schemas.microsoft.com/sharepoint/v3/contenttype/forms"/>
  </ds:schemaRefs>
</ds:datastoreItem>
</file>

<file path=customXml/itemProps3.xml><?xml version="1.0" encoding="utf-8"?>
<ds:datastoreItem xmlns:ds="http://schemas.openxmlformats.org/officeDocument/2006/customXml" ds:itemID="{7285FCFA-62C2-4DA7-8CE4-5F875111E95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1390</Characters>
  <Application>Microsoft Office Word</Application>
  <DocSecurity>0</DocSecurity>
  <Lines>11</Lines>
  <Paragraphs>3</Paragraphs>
  <ScaleCrop>false</ScaleCrop>
  <Company>Universite de Reims Champagne Ardennes</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2</cp:revision>
  <dcterms:created xsi:type="dcterms:W3CDTF">2021-05-29T07:32:00Z</dcterms:created>
  <dcterms:modified xsi:type="dcterms:W3CDTF">2021-05-29T07:44:00Z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