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5DA9A" w14:textId="77777777" w:rsidR="003218AF" w:rsidRPr="00813662" w:rsidRDefault="003218AF" w:rsidP="003218AF">
      <w:pPr>
        <w:pBdr>
          <w:top w:val="single" w:sz="4" w:space="1" w:color="auto"/>
          <w:left w:val="single" w:sz="4" w:space="4" w:color="auto"/>
          <w:bottom w:val="single" w:sz="4" w:space="1" w:color="auto"/>
          <w:right w:val="single" w:sz="4" w:space="4" w:color="auto"/>
        </w:pBdr>
        <w:jc w:val="center"/>
        <w:rPr>
          <w:rFonts w:ascii="Times New Roman" w:hAnsi="Times New Roman"/>
          <w:b/>
          <w:caps/>
          <w:lang w:val="es-ES_tradnl"/>
        </w:rPr>
      </w:pPr>
      <w:r w:rsidRPr="00813662">
        <w:rPr>
          <w:rFonts w:ascii="Times New Roman" w:hAnsi="Times New Roman"/>
          <w:b/>
          <w:caps/>
          <w:lang w:val="es-ES_tradnl"/>
        </w:rPr>
        <w:t>LI 202</w:t>
      </w:r>
      <w:r>
        <w:rPr>
          <w:rFonts w:ascii="Times New Roman" w:hAnsi="Times New Roman"/>
          <w:b/>
          <w:caps/>
          <w:lang w:val="es-ES_tradnl"/>
        </w:rPr>
        <w:t>1</w:t>
      </w:r>
      <w:r w:rsidRPr="00813662">
        <w:rPr>
          <w:rFonts w:ascii="Times New Roman" w:hAnsi="Times New Roman"/>
          <w:b/>
          <w:caps/>
          <w:lang w:val="es-ES_tradnl"/>
        </w:rPr>
        <w:t xml:space="preserve"> - XLIII Congreso Internacional </w:t>
      </w:r>
    </w:p>
    <w:p w14:paraId="0A9038BE" w14:textId="77777777" w:rsidR="003218AF" w:rsidRPr="00813662" w:rsidRDefault="003218AF" w:rsidP="003218AF">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proofErr w:type="spellStart"/>
      <w:r w:rsidRPr="00813662">
        <w:rPr>
          <w:rFonts w:ascii="Times New Roman" w:hAnsi="Times New Roman"/>
          <w:b/>
          <w:lang w:val="es-ES_tradnl"/>
        </w:rPr>
        <w:t>Université</w:t>
      </w:r>
      <w:proofErr w:type="spellEnd"/>
      <w:r w:rsidRPr="00813662">
        <w:rPr>
          <w:rFonts w:ascii="Times New Roman" w:hAnsi="Times New Roman"/>
          <w:b/>
          <w:lang w:val="es-ES_tradnl"/>
        </w:rPr>
        <w:t xml:space="preserve"> de Reims Champagne-Ardennes</w:t>
      </w:r>
    </w:p>
    <w:p w14:paraId="59DD7FB4" w14:textId="77777777" w:rsidR="003218AF" w:rsidRPr="00813662" w:rsidRDefault="003218AF" w:rsidP="003218AF">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r w:rsidRPr="00813662">
        <w:rPr>
          <w:rFonts w:ascii="Times New Roman" w:hAnsi="Times New Roman"/>
          <w:b/>
          <w:lang w:val="es-ES_tradnl"/>
        </w:rPr>
        <w:t>Reims, 6-9 de julio 202</w:t>
      </w:r>
      <w:r>
        <w:rPr>
          <w:rFonts w:ascii="Times New Roman" w:hAnsi="Times New Roman"/>
          <w:b/>
          <w:lang w:val="es-ES_tradnl"/>
        </w:rPr>
        <w:t>1</w:t>
      </w:r>
    </w:p>
    <w:p w14:paraId="2178FC73" w14:textId="77777777" w:rsidR="003218AF" w:rsidRPr="00813662" w:rsidRDefault="003218AF" w:rsidP="003218AF">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lang w:val="es-ES_tradnl"/>
        </w:rPr>
      </w:pPr>
      <w:r w:rsidRPr="00813662">
        <w:rPr>
          <w:rFonts w:ascii="Times New Roman" w:hAnsi="Times New Roman"/>
          <w:b/>
          <w:i/>
          <w:color w:val="D26508"/>
          <w:lang w:val="es-ES_tradnl"/>
        </w:rPr>
        <w:t xml:space="preserve">Cuerpos: miradas poéticas, significaciones políticas </w:t>
      </w:r>
    </w:p>
    <w:p w14:paraId="39799C5F" w14:textId="77777777" w:rsidR="003218AF" w:rsidRDefault="003218AF" w:rsidP="003218AF">
      <w:pPr>
        <w:spacing w:after="0" w:line="240" w:lineRule="auto"/>
        <w:jc w:val="both"/>
        <w:rPr>
          <w:rFonts w:ascii="Times New Roman" w:hAnsi="Times New Roman" w:cs="Times New Roman"/>
          <w:b/>
          <w:bCs/>
          <w:sz w:val="24"/>
          <w:szCs w:val="24"/>
        </w:rPr>
      </w:pPr>
      <w:bookmarkStart w:id="0" w:name="_GoBack"/>
      <w:bookmarkEnd w:id="0"/>
      <w:r w:rsidRPr="00591094">
        <w:rPr>
          <w:rFonts w:ascii="Times New Roman" w:hAnsi="Times New Roman" w:cs="Times New Roman"/>
          <w:b/>
          <w:bCs/>
          <w:sz w:val="24"/>
          <w:szCs w:val="24"/>
        </w:rPr>
        <w:t xml:space="preserve">Daniel NEMRAVA </w:t>
      </w:r>
    </w:p>
    <w:p w14:paraId="0970C520" w14:textId="77777777" w:rsidR="003218AF" w:rsidRDefault="003218AF" w:rsidP="003218AF">
      <w:pPr>
        <w:spacing w:after="0" w:line="240" w:lineRule="auto"/>
        <w:jc w:val="both"/>
        <w:rPr>
          <w:rFonts w:ascii="Times New Roman" w:hAnsi="Times New Roman" w:cs="Times New Roman"/>
          <w:bCs/>
          <w:sz w:val="24"/>
          <w:szCs w:val="24"/>
        </w:rPr>
      </w:pPr>
    </w:p>
    <w:p w14:paraId="46472395" w14:textId="77777777" w:rsidR="003218AF" w:rsidRPr="00E951C0" w:rsidRDefault="003218AF" w:rsidP="003218AF">
      <w:pPr>
        <w:spacing w:after="0" w:line="240" w:lineRule="auto"/>
        <w:jc w:val="both"/>
        <w:rPr>
          <w:rFonts w:ascii="Times New Roman" w:hAnsi="Times New Roman" w:cs="Times New Roman"/>
          <w:bCs/>
          <w:sz w:val="24"/>
          <w:szCs w:val="24"/>
        </w:rPr>
      </w:pPr>
      <w:r w:rsidRPr="00E951C0">
        <w:rPr>
          <w:rFonts w:ascii="Times New Roman" w:hAnsi="Times New Roman" w:cs="Times New Roman"/>
          <w:bCs/>
          <w:sz w:val="24"/>
          <w:szCs w:val="24"/>
        </w:rPr>
        <w:t xml:space="preserve">Universidad de </w:t>
      </w:r>
      <w:proofErr w:type="spellStart"/>
      <w:r w:rsidRPr="00E951C0">
        <w:rPr>
          <w:rFonts w:ascii="Times New Roman" w:hAnsi="Times New Roman" w:cs="Times New Roman"/>
          <w:bCs/>
          <w:sz w:val="24"/>
          <w:szCs w:val="24"/>
        </w:rPr>
        <w:t>Olomouc</w:t>
      </w:r>
      <w:proofErr w:type="spellEnd"/>
    </w:p>
    <w:p w14:paraId="322CE57E" w14:textId="77777777" w:rsidR="003218AF" w:rsidRDefault="003218AF" w:rsidP="003218AF">
      <w:pPr>
        <w:spacing w:after="0" w:line="240" w:lineRule="auto"/>
        <w:jc w:val="both"/>
        <w:rPr>
          <w:rFonts w:ascii="Times New Roman" w:hAnsi="Times New Roman" w:cs="Times New Roman"/>
          <w:b/>
          <w:bCs/>
          <w:sz w:val="24"/>
          <w:szCs w:val="24"/>
        </w:rPr>
      </w:pPr>
    </w:p>
    <w:p w14:paraId="7F6CEEDB" w14:textId="77777777" w:rsidR="003218AF" w:rsidRPr="00591094" w:rsidRDefault="003218AF" w:rsidP="003218AF">
      <w:pPr>
        <w:spacing w:after="0" w:line="240" w:lineRule="auto"/>
        <w:jc w:val="both"/>
        <w:rPr>
          <w:rFonts w:ascii="Times New Roman" w:eastAsia="Times New Roman" w:hAnsi="Times New Roman" w:cs="Times New Roman"/>
          <w:b/>
          <w:bCs/>
          <w:i/>
          <w:iCs/>
          <w:sz w:val="24"/>
          <w:szCs w:val="24"/>
          <w:lang w:eastAsia="es-ES"/>
        </w:rPr>
      </w:pPr>
      <w:r>
        <w:rPr>
          <w:rFonts w:ascii="Times New Roman" w:eastAsia="Times New Roman" w:hAnsi="Times New Roman" w:cs="Times New Roman"/>
          <w:bCs/>
          <w:iCs/>
          <w:sz w:val="24"/>
          <w:szCs w:val="24"/>
          <w:lang w:eastAsia="es-ES"/>
        </w:rPr>
        <w:t xml:space="preserve">Título: </w:t>
      </w:r>
      <w:r w:rsidRPr="00E951C0">
        <w:rPr>
          <w:rFonts w:ascii="Times New Roman" w:eastAsia="Times New Roman" w:hAnsi="Times New Roman" w:cs="Times New Roman"/>
          <w:b/>
          <w:bCs/>
          <w:iCs/>
          <w:sz w:val="24"/>
          <w:szCs w:val="24"/>
          <w:lang w:eastAsia="es-ES"/>
        </w:rPr>
        <w:t xml:space="preserve">“Figuraciones del cuerpo en </w:t>
      </w:r>
      <w:r w:rsidRPr="00E951C0">
        <w:rPr>
          <w:rFonts w:ascii="Times New Roman" w:eastAsia="Times New Roman" w:hAnsi="Times New Roman" w:cs="Times New Roman"/>
          <w:b/>
          <w:bCs/>
          <w:i/>
          <w:iCs/>
          <w:sz w:val="24"/>
          <w:szCs w:val="24"/>
          <w:lang w:eastAsia="es-ES"/>
        </w:rPr>
        <w:t xml:space="preserve">La </w:t>
      </w:r>
      <w:proofErr w:type="spellStart"/>
      <w:r w:rsidRPr="00E951C0">
        <w:rPr>
          <w:rFonts w:ascii="Times New Roman" w:eastAsia="Times New Roman" w:hAnsi="Times New Roman" w:cs="Times New Roman"/>
          <w:b/>
          <w:bCs/>
          <w:i/>
          <w:iCs/>
          <w:sz w:val="24"/>
          <w:szCs w:val="24"/>
          <w:lang w:eastAsia="es-ES"/>
        </w:rPr>
        <w:t>comemadre</w:t>
      </w:r>
      <w:proofErr w:type="spellEnd"/>
      <w:r w:rsidRPr="00E951C0">
        <w:rPr>
          <w:rFonts w:ascii="Times New Roman" w:eastAsia="Times New Roman" w:hAnsi="Times New Roman" w:cs="Times New Roman"/>
          <w:b/>
          <w:bCs/>
          <w:iCs/>
          <w:sz w:val="24"/>
          <w:szCs w:val="24"/>
          <w:lang w:eastAsia="es-ES"/>
        </w:rPr>
        <w:t xml:space="preserve">, de Roque </w:t>
      </w:r>
      <w:proofErr w:type="spellStart"/>
      <w:r w:rsidRPr="00E951C0">
        <w:rPr>
          <w:rFonts w:ascii="Times New Roman" w:eastAsia="Times New Roman" w:hAnsi="Times New Roman" w:cs="Times New Roman"/>
          <w:b/>
          <w:bCs/>
          <w:iCs/>
          <w:sz w:val="24"/>
          <w:szCs w:val="24"/>
          <w:lang w:eastAsia="es-ES"/>
        </w:rPr>
        <w:t>Larracuy</w:t>
      </w:r>
      <w:proofErr w:type="spellEnd"/>
      <w:r w:rsidRPr="00E951C0">
        <w:rPr>
          <w:rFonts w:ascii="Times New Roman" w:eastAsia="Times New Roman" w:hAnsi="Times New Roman" w:cs="Times New Roman"/>
          <w:b/>
          <w:bCs/>
          <w:iCs/>
          <w:sz w:val="24"/>
          <w:szCs w:val="24"/>
          <w:lang w:eastAsia="es-ES"/>
        </w:rPr>
        <w:t xml:space="preserve">, y </w:t>
      </w:r>
      <w:r w:rsidRPr="00E951C0">
        <w:rPr>
          <w:rFonts w:ascii="Times New Roman" w:eastAsia="Times New Roman" w:hAnsi="Times New Roman" w:cs="Times New Roman"/>
          <w:b/>
          <w:bCs/>
          <w:i/>
          <w:iCs/>
          <w:sz w:val="24"/>
          <w:szCs w:val="24"/>
          <w:lang w:eastAsia="es-ES"/>
        </w:rPr>
        <w:t>La entereza</w:t>
      </w:r>
      <w:r w:rsidRPr="00E951C0">
        <w:rPr>
          <w:rFonts w:ascii="Times New Roman" w:eastAsia="Times New Roman" w:hAnsi="Times New Roman" w:cs="Times New Roman"/>
          <w:b/>
          <w:bCs/>
          <w:iCs/>
          <w:sz w:val="24"/>
          <w:szCs w:val="24"/>
          <w:lang w:eastAsia="es-ES"/>
        </w:rPr>
        <w:t xml:space="preserve">, de Eduardo </w:t>
      </w:r>
      <w:proofErr w:type="spellStart"/>
      <w:r w:rsidRPr="00E951C0">
        <w:rPr>
          <w:rFonts w:ascii="Times New Roman" w:eastAsia="Times New Roman" w:hAnsi="Times New Roman" w:cs="Times New Roman"/>
          <w:b/>
          <w:bCs/>
          <w:iCs/>
          <w:sz w:val="24"/>
          <w:szCs w:val="24"/>
          <w:lang w:eastAsia="es-ES"/>
        </w:rPr>
        <w:t>Rubinschik</w:t>
      </w:r>
      <w:proofErr w:type="spellEnd"/>
      <w:r w:rsidRPr="00E951C0">
        <w:rPr>
          <w:rFonts w:ascii="Times New Roman" w:eastAsia="Times New Roman" w:hAnsi="Times New Roman" w:cs="Times New Roman"/>
          <w:b/>
          <w:bCs/>
          <w:iCs/>
          <w:sz w:val="24"/>
          <w:szCs w:val="24"/>
          <w:lang w:eastAsia="es-ES"/>
        </w:rPr>
        <w:t>”</w:t>
      </w:r>
    </w:p>
    <w:p w14:paraId="111450D5" w14:textId="77777777" w:rsidR="003218AF" w:rsidRDefault="003218AF" w:rsidP="003218AF">
      <w:pPr>
        <w:spacing w:after="0" w:line="240" w:lineRule="auto"/>
        <w:jc w:val="both"/>
        <w:rPr>
          <w:rFonts w:ascii="Times New Roman" w:eastAsia="Times New Roman" w:hAnsi="Times New Roman" w:cs="Times New Roman"/>
          <w:sz w:val="24"/>
          <w:szCs w:val="24"/>
          <w:lang w:eastAsia="es-ES"/>
        </w:rPr>
      </w:pPr>
    </w:p>
    <w:p w14:paraId="536DA5DD" w14:textId="77777777" w:rsidR="003218AF" w:rsidRDefault="003218AF" w:rsidP="003218AF">
      <w:pPr>
        <w:spacing w:after="0" w:line="24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Propuesta: </w:t>
      </w:r>
    </w:p>
    <w:p w14:paraId="3080E8C0" w14:textId="77777777" w:rsidR="003218AF" w:rsidRDefault="003218AF" w:rsidP="003218AF">
      <w:pPr>
        <w:spacing w:after="0" w:line="240" w:lineRule="auto"/>
        <w:jc w:val="both"/>
        <w:rPr>
          <w:rFonts w:ascii="Times New Roman" w:eastAsia="Times New Roman" w:hAnsi="Times New Roman" w:cs="Times New Roman"/>
          <w:sz w:val="24"/>
          <w:szCs w:val="24"/>
          <w:lang w:eastAsia="es-ES"/>
        </w:rPr>
      </w:pPr>
    </w:p>
    <w:p w14:paraId="5C6DE2F1" w14:textId="77777777" w:rsidR="003218AF" w:rsidRPr="003A023E" w:rsidRDefault="003218AF" w:rsidP="003218AF">
      <w:pPr>
        <w:spacing w:after="0" w:line="240" w:lineRule="auto"/>
        <w:jc w:val="both"/>
        <w:rPr>
          <w:rFonts w:ascii="Times New Roman" w:eastAsia="Times New Roman" w:hAnsi="Times New Roman" w:cs="Times New Roman"/>
          <w:sz w:val="24"/>
          <w:szCs w:val="24"/>
          <w:lang w:eastAsia="es-ES"/>
        </w:rPr>
      </w:pPr>
      <w:r w:rsidRPr="003A023E">
        <w:rPr>
          <w:rFonts w:ascii="Times New Roman" w:eastAsia="Times New Roman" w:hAnsi="Times New Roman" w:cs="Times New Roman"/>
          <w:sz w:val="24"/>
          <w:szCs w:val="24"/>
          <w:lang w:eastAsia="es-ES"/>
        </w:rPr>
        <w:t>El objetivo de la ponencia es presentar algunas novelas contemporáneas que tematizan el cuerpo en el desplazamiento y sus identidades periféricas. Nuestro objetivo es examinar la manera en que el texto explora el Yo desde el cuerpo, desde la propia “carne”, así como las figuraciones literarias del cuerpo que usan los autores para narrar los efectos de la excentricidad en la sociedad actual vinculados a lo siniestro y lo violento. Con el tema que gira en torno al cuerpo, los autores inevitablemente enfrentan y reflexionan profundamente problemas no solo estéticos, sino también éticos y políticos. Para formular y delimitar la problemática del cuerpo partimos, entre otros estudiosos, ante todo de las reflexiones acerca del cuerpo del filósofo Jean-Luc Nancy, los estudios sobre la estética de lo performativo de Erika Fischer-</w:t>
      </w:r>
      <w:proofErr w:type="spellStart"/>
      <w:r w:rsidRPr="003A023E">
        <w:rPr>
          <w:rFonts w:ascii="Times New Roman" w:eastAsia="Times New Roman" w:hAnsi="Times New Roman" w:cs="Times New Roman"/>
          <w:sz w:val="24"/>
          <w:szCs w:val="24"/>
          <w:lang w:eastAsia="es-ES"/>
        </w:rPr>
        <w:t>Lichte</w:t>
      </w:r>
      <w:proofErr w:type="spellEnd"/>
      <w:r w:rsidRPr="003A023E">
        <w:rPr>
          <w:rFonts w:ascii="Times New Roman" w:eastAsia="Times New Roman" w:hAnsi="Times New Roman" w:cs="Times New Roman"/>
          <w:sz w:val="24"/>
          <w:szCs w:val="24"/>
          <w:lang w:eastAsia="es-ES"/>
        </w:rPr>
        <w:t xml:space="preserve"> y la antropología de la imagen de Hans </w:t>
      </w:r>
      <w:proofErr w:type="spellStart"/>
      <w:r w:rsidRPr="003A023E">
        <w:rPr>
          <w:rFonts w:ascii="Times New Roman" w:eastAsia="Times New Roman" w:hAnsi="Times New Roman" w:cs="Times New Roman"/>
          <w:sz w:val="24"/>
          <w:szCs w:val="24"/>
          <w:lang w:eastAsia="es-ES"/>
        </w:rPr>
        <w:t>Belting</w:t>
      </w:r>
      <w:proofErr w:type="spellEnd"/>
      <w:r w:rsidRPr="003A023E">
        <w:rPr>
          <w:rFonts w:ascii="Times New Roman" w:eastAsia="Times New Roman" w:hAnsi="Times New Roman" w:cs="Times New Roman"/>
          <w:sz w:val="24"/>
          <w:szCs w:val="24"/>
          <w:lang w:eastAsia="es-ES"/>
        </w:rPr>
        <w:t xml:space="preserve">. En el caso de las novelas </w:t>
      </w:r>
      <w:r w:rsidRPr="003A023E">
        <w:rPr>
          <w:rFonts w:ascii="Times New Roman" w:eastAsia="Times New Roman" w:hAnsi="Times New Roman" w:cs="Times New Roman"/>
          <w:i/>
          <w:iCs/>
          <w:sz w:val="24"/>
          <w:szCs w:val="24"/>
          <w:lang w:eastAsia="es-ES"/>
        </w:rPr>
        <w:t xml:space="preserve">La </w:t>
      </w:r>
      <w:proofErr w:type="spellStart"/>
      <w:r w:rsidRPr="003A023E">
        <w:rPr>
          <w:rFonts w:ascii="Times New Roman" w:eastAsia="Times New Roman" w:hAnsi="Times New Roman" w:cs="Times New Roman"/>
          <w:i/>
          <w:iCs/>
          <w:sz w:val="24"/>
          <w:szCs w:val="24"/>
          <w:lang w:eastAsia="es-ES"/>
        </w:rPr>
        <w:t>comemadre</w:t>
      </w:r>
      <w:proofErr w:type="spellEnd"/>
      <w:r w:rsidRPr="003A023E">
        <w:rPr>
          <w:rFonts w:ascii="Times New Roman" w:eastAsia="Times New Roman" w:hAnsi="Times New Roman" w:cs="Times New Roman"/>
          <w:i/>
          <w:iCs/>
          <w:sz w:val="24"/>
          <w:szCs w:val="24"/>
          <w:lang w:eastAsia="es-ES"/>
        </w:rPr>
        <w:t xml:space="preserve"> </w:t>
      </w:r>
      <w:r w:rsidRPr="003A023E">
        <w:rPr>
          <w:rFonts w:ascii="Times New Roman" w:eastAsia="Times New Roman" w:hAnsi="Times New Roman" w:cs="Times New Roman"/>
          <w:sz w:val="24"/>
          <w:szCs w:val="24"/>
          <w:lang w:eastAsia="es-ES"/>
        </w:rPr>
        <w:t xml:space="preserve">y </w:t>
      </w:r>
      <w:r w:rsidRPr="003A023E">
        <w:rPr>
          <w:rFonts w:ascii="Times New Roman" w:eastAsia="Times New Roman" w:hAnsi="Times New Roman" w:cs="Times New Roman"/>
          <w:i/>
          <w:iCs/>
          <w:sz w:val="24"/>
          <w:szCs w:val="24"/>
          <w:lang w:eastAsia="es-ES"/>
        </w:rPr>
        <w:t>La entereza</w:t>
      </w:r>
      <w:r w:rsidRPr="003A023E">
        <w:rPr>
          <w:rFonts w:ascii="Times New Roman" w:eastAsia="Times New Roman" w:hAnsi="Times New Roman" w:cs="Times New Roman"/>
          <w:sz w:val="24"/>
          <w:szCs w:val="24"/>
          <w:lang w:eastAsia="es-ES"/>
        </w:rPr>
        <w:t xml:space="preserve">, consideramos que el acto de los protagonistas de exhibir desde su cuerpo se podría interpretar como una </w:t>
      </w:r>
      <w:proofErr w:type="spellStart"/>
      <w:r w:rsidRPr="003A023E">
        <w:rPr>
          <w:rFonts w:ascii="Times New Roman" w:eastAsia="Times New Roman" w:hAnsi="Times New Roman" w:cs="Times New Roman"/>
          <w:sz w:val="24"/>
          <w:szCs w:val="24"/>
          <w:lang w:eastAsia="es-ES"/>
        </w:rPr>
        <w:t>metaforización</w:t>
      </w:r>
      <w:proofErr w:type="spellEnd"/>
      <w:r w:rsidRPr="003A023E">
        <w:rPr>
          <w:rFonts w:ascii="Times New Roman" w:eastAsia="Times New Roman" w:hAnsi="Times New Roman" w:cs="Times New Roman"/>
          <w:sz w:val="24"/>
          <w:szCs w:val="24"/>
          <w:lang w:eastAsia="es-ES"/>
        </w:rPr>
        <w:t xml:space="preserve"> del concepto </w:t>
      </w:r>
      <w:proofErr w:type="spellStart"/>
      <w:r w:rsidRPr="003A023E">
        <w:rPr>
          <w:rFonts w:ascii="Times New Roman" w:eastAsia="Times New Roman" w:hAnsi="Times New Roman" w:cs="Times New Roman"/>
          <w:sz w:val="24"/>
          <w:szCs w:val="24"/>
          <w:lang w:eastAsia="es-ES"/>
        </w:rPr>
        <w:t>nancyano</w:t>
      </w:r>
      <w:proofErr w:type="spellEnd"/>
      <w:r w:rsidRPr="003A023E">
        <w:rPr>
          <w:rFonts w:ascii="Times New Roman" w:eastAsia="Times New Roman" w:hAnsi="Times New Roman" w:cs="Times New Roman"/>
          <w:sz w:val="24"/>
          <w:szCs w:val="24"/>
          <w:lang w:eastAsia="es-ES"/>
        </w:rPr>
        <w:t xml:space="preserve"> de la </w:t>
      </w:r>
      <w:proofErr w:type="spellStart"/>
      <w:r w:rsidRPr="003A023E">
        <w:rPr>
          <w:rFonts w:ascii="Times New Roman" w:eastAsia="Times New Roman" w:hAnsi="Times New Roman" w:cs="Times New Roman"/>
          <w:i/>
          <w:iCs/>
          <w:sz w:val="24"/>
          <w:szCs w:val="24"/>
          <w:lang w:eastAsia="es-ES"/>
        </w:rPr>
        <w:t>excritura</w:t>
      </w:r>
      <w:proofErr w:type="spellEnd"/>
      <w:r w:rsidRPr="003A023E">
        <w:rPr>
          <w:rFonts w:ascii="Times New Roman" w:eastAsia="Times New Roman" w:hAnsi="Times New Roman" w:cs="Times New Roman"/>
          <w:sz w:val="24"/>
          <w:szCs w:val="24"/>
          <w:lang w:eastAsia="es-ES"/>
        </w:rPr>
        <w:t xml:space="preserve"> del cuerpo, su transgresión y su puesta fuera de texto, es decir, la “</w:t>
      </w:r>
      <w:proofErr w:type="spellStart"/>
      <w:r w:rsidRPr="003A023E">
        <w:rPr>
          <w:rFonts w:ascii="Times New Roman" w:eastAsia="Times New Roman" w:hAnsi="Times New Roman" w:cs="Times New Roman"/>
          <w:sz w:val="24"/>
          <w:szCs w:val="24"/>
          <w:lang w:eastAsia="es-ES"/>
        </w:rPr>
        <w:t>excritura</w:t>
      </w:r>
      <w:proofErr w:type="spellEnd"/>
      <w:r w:rsidRPr="003A023E">
        <w:rPr>
          <w:rFonts w:ascii="Times New Roman" w:eastAsia="Times New Roman" w:hAnsi="Times New Roman" w:cs="Times New Roman"/>
          <w:sz w:val="24"/>
          <w:szCs w:val="24"/>
          <w:lang w:eastAsia="es-ES"/>
        </w:rPr>
        <w:t xml:space="preserve">” que parte del cuerpo orgánico/fenoménico del artista. Como en la </w:t>
      </w:r>
      <w:r w:rsidRPr="003A023E">
        <w:rPr>
          <w:rFonts w:ascii="Times New Roman" w:eastAsia="Times New Roman" w:hAnsi="Times New Roman" w:cs="Times New Roman"/>
          <w:i/>
          <w:iCs/>
          <w:sz w:val="24"/>
          <w:szCs w:val="24"/>
          <w:lang w:eastAsia="es-ES"/>
        </w:rPr>
        <w:t>performance</w:t>
      </w:r>
      <w:r w:rsidRPr="003A023E">
        <w:rPr>
          <w:rFonts w:ascii="Times New Roman" w:eastAsia="Times New Roman" w:hAnsi="Times New Roman" w:cs="Times New Roman"/>
          <w:sz w:val="24"/>
          <w:szCs w:val="24"/>
          <w:lang w:eastAsia="es-ES"/>
        </w:rPr>
        <w:t xml:space="preserve">, el cuerpo mismo del protagonista se convierte en un actor que ya no domina su cuerpo. Al mismo tiempo podemos leer las novelas como una respuesta burlona a las nuevas tecnologías y la </w:t>
      </w:r>
      <w:proofErr w:type="spellStart"/>
      <w:r w:rsidRPr="003A023E">
        <w:rPr>
          <w:rFonts w:ascii="Times New Roman" w:eastAsia="Times New Roman" w:hAnsi="Times New Roman" w:cs="Times New Roman"/>
          <w:sz w:val="24"/>
          <w:szCs w:val="24"/>
          <w:lang w:eastAsia="es-ES"/>
        </w:rPr>
        <w:t>hibridización</w:t>
      </w:r>
      <w:proofErr w:type="spellEnd"/>
      <w:r w:rsidRPr="003A023E">
        <w:rPr>
          <w:rFonts w:ascii="Times New Roman" w:eastAsia="Times New Roman" w:hAnsi="Times New Roman" w:cs="Times New Roman"/>
          <w:sz w:val="24"/>
          <w:szCs w:val="24"/>
          <w:lang w:eastAsia="es-ES"/>
        </w:rPr>
        <w:t xml:space="preserve"> biológico-química del cuerpo en la era </w:t>
      </w:r>
      <w:proofErr w:type="spellStart"/>
      <w:r w:rsidRPr="003A023E">
        <w:rPr>
          <w:rFonts w:ascii="Times New Roman" w:eastAsia="Times New Roman" w:hAnsi="Times New Roman" w:cs="Times New Roman"/>
          <w:sz w:val="24"/>
          <w:szCs w:val="24"/>
          <w:lang w:eastAsia="es-ES"/>
        </w:rPr>
        <w:t>poshumana</w:t>
      </w:r>
      <w:proofErr w:type="spellEnd"/>
      <w:r w:rsidRPr="003A023E">
        <w:rPr>
          <w:rFonts w:ascii="Times New Roman" w:eastAsia="Times New Roman" w:hAnsi="Times New Roman" w:cs="Times New Roman"/>
          <w:sz w:val="24"/>
          <w:szCs w:val="24"/>
          <w:lang w:eastAsia="es-ES"/>
        </w:rPr>
        <w:t>.</w:t>
      </w:r>
    </w:p>
    <w:p w14:paraId="7EA8258B" w14:textId="77777777" w:rsidR="003218AF" w:rsidRDefault="003218AF"/>
    <w:p w14:paraId="13B53837" w14:textId="77777777" w:rsidR="003218AF" w:rsidRDefault="003218AF" w:rsidP="003218AF">
      <w:pPr>
        <w:spacing w:after="0" w:line="240" w:lineRule="auto"/>
        <w:jc w:val="both"/>
        <w:rPr>
          <w:rFonts w:ascii="Times New Roman" w:hAnsi="Times New Roman" w:cs="Times New Roman"/>
          <w:sz w:val="24"/>
          <w:szCs w:val="24"/>
        </w:rPr>
      </w:pPr>
      <w:r w:rsidRPr="003A023E">
        <w:rPr>
          <w:rFonts w:ascii="Times New Roman" w:hAnsi="Times New Roman" w:cs="Times New Roman"/>
          <w:sz w:val="24"/>
          <w:szCs w:val="24"/>
        </w:rPr>
        <w:t>Eje</w:t>
      </w:r>
      <w:r>
        <w:rPr>
          <w:rFonts w:ascii="Times New Roman" w:hAnsi="Times New Roman" w:cs="Times New Roman"/>
          <w:sz w:val="24"/>
          <w:szCs w:val="24"/>
        </w:rPr>
        <w:t>:</w:t>
      </w:r>
    </w:p>
    <w:p w14:paraId="2A3A4D0E" w14:textId="77777777" w:rsidR="003218AF" w:rsidRDefault="003218AF" w:rsidP="003218AF">
      <w:pPr>
        <w:spacing w:after="0" w:line="240" w:lineRule="auto"/>
        <w:jc w:val="both"/>
        <w:rPr>
          <w:rFonts w:ascii="Times New Roman" w:hAnsi="Times New Roman" w:cs="Times New Roman"/>
          <w:b/>
          <w:sz w:val="24"/>
          <w:szCs w:val="24"/>
        </w:rPr>
      </w:pPr>
    </w:p>
    <w:p w14:paraId="19AAD8F9" w14:textId="77777777" w:rsidR="003218AF" w:rsidRPr="00E951C0" w:rsidRDefault="003218AF" w:rsidP="003218AF">
      <w:pPr>
        <w:spacing w:after="0" w:line="240" w:lineRule="auto"/>
        <w:jc w:val="both"/>
        <w:rPr>
          <w:rFonts w:ascii="Times New Roman" w:hAnsi="Times New Roman" w:cs="Times New Roman"/>
          <w:b/>
          <w:sz w:val="24"/>
          <w:szCs w:val="24"/>
        </w:rPr>
      </w:pPr>
      <w:r w:rsidRPr="00E951C0">
        <w:rPr>
          <w:rFonts w:ascii="Times New Roman" w:hAnsi="Times New Roman" w:cs="Times New Roman"/>
          <w:b/>
          <w:sz w:val="24"/>
          <w:szCs w:val="24"/>
        </w:rPr>
        <w:t>I) CUERPOS, ESCRITURAS CRÍTICAS</w:t>
      </w:r>
    </w:p>
    <w:p w14:paraId="4A52757D" w14:textId="77777777" w:rsidR="003218AF" w:rsidRPr="003A023E" w:rsidRDefault="003218AF" w:rsidP="003218AF">
      <w:pPr>
        <w:spacing w:after="0" w:line="240" w:lineRule="auto"/>
        <w:jc w:val="both"/>
        <w:rPr>
          <w:rFonts w:ascii="Times New Roman" w:hAnsi="Times New Roman" w:cs="Times New Roman"/>
          <w:sz w:val="24"/>
          <w:szCs w:val="24"/>
        </w:rPr>
      </w:pPr>
      <w:proofErr w:type="spellStart"/>
      <w:r w:rsidRPr="003A023E">
        <w:rPr>
          <w:rFonts w:ascii="Times New Roman" w:hAnsi="Times New Roman" w:cs="Times New Roman"/>
          <w:sz w:val="24"/>
          <w:szCs w:val="24"/>
        </w:rPr>
        <w:t>Corporalización</w:t>
      </w:r>
      <w:proofErr w:type="spellEnd"/>
      <w:r w:rsidRPr="003A023E">
        <w:rPr>
          <w:rFonts w:ascii="Times New Roman" w:hAnsi="Times New Roman" w:cs="Times New Roman"/>
          <w:sz w:val="24"/>
          <w:szCs w:val="24"/>
        </w:rPr>
        <w:t xml:space="preserve"> de la escritura y textualización del cuerpo</w:t>
      </w:r>
    </w:p>
    <w:p w14:paraId="58721C9E" w14:textId="77777777" w:rsidR="003218AF" w:rsidRDefault="003218AF" w:rsidP="003218AF">
      <w:pPr>
        <w:spacing w:after="0" w:line="240" w:lineRule="auto"/>
        <w:jc w:val="both"/>
        <w:rPr>
          <w:rFonts w:ascii="Times New Roman" w:hAnsi="Times New Roman" w:cs="Times New Roman"/>
          <w:b/>
          <w:sz w:val="24"/>
          <w:szCs w:val="24"/>
        </w:rPr>
      </w:pPr>
    </w:p>
    <w:p w14:paraId="2CC0BBEE" w14:textId="77777777" w:rsidR="003218AF" w:rsidRPr="00E951C0" w:rsidRDefault="003218AF" w:rsidP="003218AF">
      <w:pPr>
        <w:spacing w:after="0" w:line="240" w:lineRule="auto"/>
        <w:jc w:val="both"/>
        <w:rPr>
          <w:rFonts w:ascii="Times New Roman" w:hAnsi="Times New Roman" w:cs="Times New Roman"/>
          <w:b/>
          <w:i/>
          <w:sz w:val="24"/>
          <w:szCs w:val="24"/>
        </w:rPr>
      </w:pPr>
      <w:r w:rsidRPr="00E951C0">
        <w:rPr>
          <w:rFonts w:ascii="Times New Roman" w:hAnsi="Times New Roman" w:cs="Times New Roman"/>
          <w:b/>
          <w:sz w:val="24"/>
          <w:szCs w:val="24"/>
        </w:rPr>
        <w:t xml:space="preserve">MESA REDONDA: </w:t>
      </w:r>
      <w:r w:rsidRPr="00E951C0">
        <w:rPr>
          <w:rFonts w:ascii="Times New Roman" w:hAnsi="Times New Roman" w:cs="Times New Roman"/>
          <w:b/>
          <w:i/>
          <w:sz w:val="24"/>
          <w:szCs w:val="24"/>
        </w:rPr>
        <w:t>Cuerpos y corpus convulsos</w:t>
      </w:r>
    </w:p>
    <w:p w14:paraId="78F66DD4" w14:textId="77777777" w:rsidR="003218AF" w:rsidRDefault="003218AF" w:rsidP="003218AF">
      <w:pPr>
        <w:spacing w:after="0" w:line="240" w:lineRule="auto"/>
        <w:jc w:val="both"/>
        <w:rPr>
          <w:rFonts w:ascii="Times New Roman" w:hAnsi="Times New Roman" w:cs="Times New Roman"/>
          <w:sz w:val="24"/>
          <w:szCs w:val="24"/>
        </w:rPr>
      </w:pPr>
    </w:p>
    <w:p w14:paraId="20E04C16" w14:textId="77777777" w:rsidR="003218AF" w:rsidRDefault="003218AF"/>
    <w:sectPr w:rsidR="003218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AF"/>
    <w:rsid w:val="003218A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81A2B"/>
  <w15:chartTrackingRefBased/>
  <w15:docId w15:val="{0AAD3D61-FB93-4A11-84B0-B098515CF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18AF"/>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B445FE-AF62-425D-A9D5-0365EE896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6A7BFB-83BB-4B74-8B06-CC34F7C0E8AA}">
  <ds:schemaRefs>
    <ds:schemaRef ds:uri="http://schemas.microsoft.com/sharepoint/v3/contenttype/forms"/>
  </ds:schemaRefs>
</ds:datastoreItem>
</file>

<file path=customXml/itemProps3.xml><?xml version="1.0" encoding="utf-8"?>
<ds:datastoreItem xmlns:ds="http://schemas.openxmlformats.org/officeDocument/2006/customXml" ds:itemID="{D2235CC2-E7C2-4901-9DF2-B328F94F073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1667</Characters>
  <Application>Microsoft Office Word</Application>
  <DocSecurity>0</DocSecurity>
  <Lines>13</Lines>
  <Paragraphs>3</Paragraphs>
  <ScaleCrop>false</ScaleCrop>
  <Company>Universite de Reims Champagne Ardennes</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2021-05-28T16:14:00Z</dcterms:created>
  <dcterms:modified xsi:type="dcterms:W3CDTF">2021-05-28T16:16:00Z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