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9C2" w:rsidP="00F079C2" w:rsidRDefault="00F079C2" w14:paraId="630044B0"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F079C2" w:rsidP="00F079C2" w:rsidRDefault="00F079C2" w14:paraId="1C5802C2"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F079C2" w:rsidP="00F079C2" w:rsidRDefault="00F079C2" w14:paraId="776E98C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F079C2" w:rsidP="00F079C2" w:rsidRDefault="00F079C2" w14:paraId="68E6FA81"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Pr="003E5BC1" w:rsidR="00F079C2" w:rsidP="00F079C2" w:rsidRDefault="00F079C2" w14:paraId="00251157"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F079C2" w:rsidP="00F079C2" w:rsidRDefault="00F079C2" w14:paraId="2916EE5B" w14:textId="77777777">
      <w:pPr>
        <w:rPr>
          <w:rFonts w:ascii="Times New Roman" w:hAnsi="Times New Roman"/>
          <w:b/>
          <w:bCs/>
          <w:lang w:val="es-ES"/>
        </w:rPr>
      </w:pPr>
    </w:p>
    <w:p w:rsidRPr="001F7A1A" w:rsidR="00F079C2" w:rsidP="00F079C2" w:rsidRDefault="00F079C2" w14:paraId="6FC2D1EE" w14:textId="77777777">
      <w:pPr>
        <w:rPr>
          <w:rFonts w:ascii="Times New Roman" w:hAnsi="Times New Roman"/>
          <w:b/>
          <w:bCs/>
          <w:lang w:val="es-ES"/>
        </w:rPr>
      </w:pPr>
      <w:r w:rsidRPr="001F7A1A">
        <w:rPr>
          <w:rFonts w:ascii="Times New Roman" w:hAnsi="Times New Roman"/>
          <w:b/>
          <w:bCs/>
          <w:lang w:val="es-ES"/>
        </w:rPr>
        <w:t>Ana TRAVERSO</w:t>
      </w:r>
    </w:p>
    <w:p w:rsidR="00F079C2" w:rsidP="00F079C2" w:rsidRDefault="00F079C2" w14:paraId="1FFC7A85" w14:textId="77777777">
      <w:pPr>
        <w:rPr>
          <w:rFonts w:ascii="Times New Roman" w:hAnsi="Times New Roman"/>
          <w:u w:val="single"/>
          <w:lang w:val="es-ES"/>
        </w:rPr>
      </w:pPr>
    </w:p>
    <w:p w:rsidRPr="001F7A1A" w:rsidR="00F079C2" w:rsidP="00F079C2" w:rsidRDefault="00F079C2" w14:paraId="33F4F8E3" w14:textId="77777777">
      <w:pPr>
        <w:rPr>
          <w:rFonts w:ascii="Times New Roman" w:hAnsi="Times New Roman"/>
          <w:lang w:val="es-ES"/>
        </w:rPr>
      </w:pPr>
      <w:r w:rsidRPr="001F7A1A">
        <w:rPr>
          <w:rFonts w:ascii="Times New Roman" w:hAnsi="Times New Roman"/>
          <w:lang w:val="es-ES"/>
        </w:rPr>
        <w:t>Universidad Austral</w:t>
      </w:r>
    </w:p>
    <w:p w:rsidR="00F079C2" w:rsidP="00F079C2" w:rsidRDefault="00F079C2" w14:paraId="57FCFB9F" w14:textId="77777777">
      <w:pPr>
        <w:rPr>
          <w:rFonts w:ascii="Times New Roman" w:hAnsi="Times New Roman"/>
          <w:u w:val="single"/>
          <w:lang w:val="es-ES"/>
        </w:rPr>
      </w:pPr>
    </w:p>
    <w:p w:rsidRPr="001F7A1A" w:rsidR="00F079C2" w:rsidP="00F079C2" w:rsidRDefault="00F079C2" w14:paraId="1F4DF6D4" w14:textId="77777777">
      <w:pPr>
        <w:rPr>
          <w:rFonts w:ascii="Times New Roman" w:hAnsi="Times New Roman" w:eastAsia="Times New Roman"/>
          <w:b/>
          <w:color w:val="222222"/>
          <w:lang w:val="es-ES" w:eastAsia="es-CL"/>
        </w:rPr>
      </w:pPr>
      <w:r w:rsidRPr="001F7A1A">
        <w:rPr>
          <w:rFonts w:ascii="Times New Roman" w:hAnsi="Times New Roman"/>
          <w:lang w:val="es-ES"/>
        </w:rPr>
        <w:t xml:space="preserve">Título: </w:t>
      </w:r>
      <w:r w:rsidRPr="001F7A1A">
        <w:rPr>
          <w:rFonts w:ascii="Times New Roman" w:hAnsi="Times New Roman" w:eastAsia="Times New Roman"/>
          <w:b/>
          <w:color w:val="222222"/>
          <w:lang w:val="es-ES" w:eastAsia="es-CL"/>
        </w:rPr>
        <w:t xml:space="preserve">“Los tiempos del secreto: Marta Brunet y María Carolina </w:t>
      </w:r>
      <w:proofErr w:type="spellStart"/>
      <w:r w:rsidRPr="001F7A1A">
        <w:rPr>
          <w:rFonts w:ascii="Times New Roman" w:hAnsi="Times New Roman" w:eastAsia="Times New Roman"/>
          <w:b/>
          <w:color w:val="222222"/>
          <w:lang w:val="es-ES" w:eastAsia="es-CL"/>
        </w:rPr>
        <w:t>Geel</w:t>
      </w:r>
      <w:proofErr w:type="spellEnd"/>
      <w:r w:rsidRPr="001F7A1A">
        <w:rPr>
          <w:rFonts w:ascii="Times New Roman" w:hAnsi="Times New Roman" w:eastAsia="Times New Roman"/>
          <w:b/>
          <w:color w:val="222222"/>
          <w:lang w:val="es-ES" w:eastAsia="es-CL"/>
        </w:rPr>
        <w:t xml:space="preserve">” </w:t>
      </w:r>
    </w:p>
    <w:p w:rsidRPr="001F7A1A" w:rsidR="00F079C2" w:rsidP="00F079C2" w:rsidRDefault="00F079C2" w14:paraId="0D02E45B" w14:textId="77777777">
      <w:pPr>
        <w:shd w:val="clear" w:color="auto" w:fill="FFFFFF"/>
        <w:jc w:val="both"/>
        <w:rPr>
          <w:rFonts w:ascii="Times New Roman" w:hAnsi="Times New Roman" w:eastAsia="Times New Roman"/>
          <w:color w:val="222222"/>
          <w:lang w:val="es-ES" w:eastAsia="es-CL"/>
        </w:rPr>
      </w:pPr>
    </w:p>
    <w:p w:rsidRPr="001F7A1A" w:rsidR="00F079C2" w:rsidP="00F079C2" w:rsidRDefault="00F079C2" w14:paraId="42FF3985" w14:textId="77777777">
      <w:pPr>
        <w:jc w:val="both"/>
        <w:rPr>
          <w:rFonts w:ascii="Times New Roman" w:hAnsi="Times New Roman" w:eastAsia="Times New Roman"/>
          <w:color w:val="222222"/>
          <w:lang w:val="es-CL" w:eastAsia="es-CL"/>
        </w:rPr>
      </w:pPr>
      <w:r w:rsidRPr="001F7A1A">
        <w:rPr>
          <w:rFonts w:ascii="Times New Roman" w:hAnsi="Times New Roman" w:eastAsia="Times New Roman"/>
          <w:color w:val="222222"/>
          <w:lang w:val="es-CL" w:eastAsia="es-CL"/>
        </w:rPr>
        <w:t xml:space="preserve">Propuesta: </w:t>
      </w:r>
    </w:p>
    <w:p w:rsidR="00F079C2" w:rsidP="00F079C2" w:rsidRDefault="00F079C2" w14:paraId="544E8193" w14:textId="77777777">
      <w:pPr>
        <w:jc w:val="both"/>
        <w:rPr>
          <w:rFonts w:ascii="Times New Roman" w:hAnsi="Times New Roman" w:eastAsia="Times New Roman"/>
          <w:color w:val="222222"/>
          <w:lang w:val="es-CL" w:eastAsia="es-CL"/>
        </w:rPr>
      </w:pPr>
    </w:p>
    <w:p w:rsidRPr="001F7A1A" w:rsidR="00F079C2" w:rsidP="00F079C2" w:rsidRDefault="00F079C2" w14:paraId="62CDD192" w14:textId="77777777">
      <w:pPr>
        <w:jc w:val="both"/>
        <w:rPr>
          <w:rFonts w:ascii="Times New Roman" w:hAnsi="Times New Roman"/>
          <w:b/>
          <w:bCs/>
          <w:lang w:val="es-CL"/>
        </w:rPr>
      </w:pPr>
      <w:r w:rsidRPr="001F7A1A">
        <w:rPr>
          <w:rFonts w:ascii="Times New Roman" w:hAnsi="Times New Roman" w:eastAsia="Times New Roman"/>
          <w:color w:val="222222"/>
          <w:lang w:val="es-CL" w:eastAsia="es-CL"/>
        </w:rPr>
        <w:t xml:space="preserve">El estallido social con que se inicia el siglo XX hizo visibles las desigualdades de clase y de género, impulsando con ello un movimiento social marcado por las denuncias y los nuevos proyectos políticos e ideológicos, traducido en demandas sociales de todo tipo. El profundo remezón que afectó a la clase política oligárquica, sumado a la participación de las mujeres en la escena pública, moviliza en las escritoras una ambigua relación con el pasado, el presente y el futuro. Desde una evidente pérdida de privilegios económicos y una supuesta ganancia en materia de derechos, los textos de estas autoras parecieran instalarse desde la desconfianza respecto a las reivindicaciones políticas de la agenda feminista, así como de cualquier otro proyecto de cambio social. No obstante, la literatura se fragua como un espacio que permite develar una intimidad al margen de la política pública y las demandas sociales, transformando lo íntimo en su proyecto político. Una especie de secreto, que vincula al sujeto con su pasado, busca confidenciase en el presente de la conversación, posponiendo su total develamiento, como si después de ello se anunciara el final de la vida del personaje y el de la propia literatura. La vida sostenida en la duración de la confesión y la narración, vuelven todo proyecto al lugar de la literatura, así como la literatura se torna en aquella posibilidad de mantener y comunicar lo inefable, indecible e íntimo de la vida. A partir de la lectura de </w:t>
      </w:r>
      <w:r w:rsidRPr="001F7A1A">
        <w:rPr>
          <w:rFonts w:ascii="Times New Roman" w:hAnsi="Times New Roman" w:eastAsia="Times New Roman"/>
          <w:i/>
          <w:color w:val="222222"/>
          <w:lang w:val="es-CL" w:eastAsia="es-CL"/>
        </w:rPr>
        <w:t>Amasijo</w:t>
      </w:r>
      <w:r w:rsidRPr="001F7A1A">
        <w:rPr>
          <w:rFonts w:ascii="Times New Roman" w:hAnsi="Times New Roman" w:eastAsia="Times New Roman"/>
          <w:color w:val="222222"/>
          <w:lang w:val="es-CL" w:eastAsia="es-CL"/>
        </w:rPr>
        <w:t xml:space="preserve"> de Marta Brunet y </w:t>
      </w:r>
      <w:r w:rsidRPr="001F7A1A">
        <w:rPr>
          <w:rFonts w:ascii="Times New Roman" w:hAnsi="Times New Roman" w:eastAsia="Times New Roman"/>
          <w:i/>
          <w:color w:val="222222"/>
          <w:lang w:val="es-CL" w:eastAsia="es-CL"/>
        </w:rPr>
        <w:t>La mujer de sal</w:t>
      </w:r>
      <w:r w:rsidRPr="001F7A1A">
        <w:rPr>
          <w:rFonts w:ascii="Times New Roman" w:hAnsi="Times New Roman" w:eastAsia="Times New Roman"/>
          <w:color w:val="222222"/>
          <w:lang w:val="es-CL" w:eastAsia="es-CL"/>
        </w:rPr>
        <w:t xml:space="preserve"> de María Elena Gertner, dos novelas que se escriben a partir de las propias escrituras de sus personajes suicidas, me interesa pensar una especie de </w:t>
      </w:r>
      <w:proofErr w:type="gramStart"/>
      <w:r w:rsidRPr="001F7A1A">
        <w:rPr>
          <w:rFonts w:ascii="Times New Roman" w:hAnsi="Times New Roman" w:eastAsia="Times New Roman"/>
          <w:color w:val="222222"/>
          <w:lang w:val="es-CL" w:eastAsia="es-CL"/>
        </w:rPr>
        <w:t>proyecto de futuro</w:t>
      </w:r>
      <w:proofErr w:type="gramEnd"/>
      <w:r w:rsidRPr="001F7A1A">
        <w:rPr>
          <w:rFonts w:ascii="Times New Roman" w:hAnsi="Times New Roman" w:eastAsia="Times New Roman"/>
          <w:color w:val="222222"/>
          <w:lang w:val="es-CL" w:eastAsia="es-CL"/>
        </w:rPr>
        <w:t xml:space="preserve"> centrado en la vida.</w:t>
      </w:r>
    </w:p>
    <w:p w:rsidRPr="002F352A" w:rsidR="00F079C2" w:rsidP="00F079C2" w:rsidRDefault="00F079C2" w14:paraId="0CEDC0D5" w14:textId="77777777">
      <w:pPr>
        <w:rPr>
          <w:rFonts w:ascii="Times New Roman" w:hAnsi="Times New Roman"/>
          <w:lang w:val="es-ES"/>
        </w:rPr>
      </w:pPr>
      <w:bookmarkStart w:name="_GoBack" w:id="0"/>
      <w:bookmarkEnd w:id="0"/>
    </w:p>
    <w:p w:rsidR="00F079C2" w:rsidP="00F079C2" w:rsidRDefault="00F079C2" w14:paraId="180B6959" w14:textId="77777777">
      <w:pPr>
        <w:rPr>
          <w:rFonts w:ascii="Times New Roman" w:hAnsi="Times New Roman"/>
          <w:lang w:val="es-ES"/>
        </w:rPr>
      </w:pPr>
      <w:r w:rsidRPr="002F352A">
        <w:rPr>
          <w:rFonts w:ascii="Times New Roman" w:hAnsi="Times New Roman"/>
          <w:lang w:val="es-ES"/>
        </w:rPr>
        <w:t xml:space="preserve">Eje: </w:t>
      </w:r>
    </w:p>
    <w:p w:rsidR="00F079C2" w:rsidP="00F079C2" w:rsidRDefault="00F079C2" w14:paraId="08D53721" w14:textId="77777777">
      <w:pPr>
        <w:rPr>
          <w:rFonts w:ascii="Times New Roman" w:hAnsi="Times New Roman"/>
          <w:b/>
          <w:lang w:val="es-ES"/>
        </w:rPr>
      </w:pPr>
    </w:p>
    <w:p w:rsidR="00F079C2" w:rsidP="00F079C2" w:rsidRDefault="00F079C2" w14:paraId="76B09E83" w14:textId="77777777">
      <w:pPr>
        <w:rPr>
          <w:rFonts w:ascii="Times New Roman" w:hAnsi="Times New Roman"/>
          <w:b/>
          <w:lang w:val="es-ES"/>
        </w:rPr>
      </w:pPr>
      <w:r w:rsidRPr="002F352A">
        <w:rPr>
          <w:rFonts w:ascii="Times New Roman" w:hAnsi="Times New Roman"/>
          <w:b/>
          <w:lang w:val="es-ES"/>
        </w:rPr>
        <w:t>II) TRAMAS POLÍTICAS</w:t>
      </w:r>
    </w:p>
    <w:p w:rsidRPr="002F352A" w:rsidR="00F079C2" w:rsidP="00F079C2" w:rsidRDefault="00F079C2" w14:paraId="70BE0A43" w14:textId="77777777">
      <w:pPr>
        <w:rPr>
          <w:rFonts w:ascii="Times New Roman" w:hAnsi="Times New Roman"/>
          <w:lang w:val="es-ES"/>
        </w:rPr>
      </w:pPr>
      <w:r w:rsidRPr="002F352A">
        <w:rPr>
          <w:rFonts w:ascii="Times New Roman" w:hAnsi="Times New Roman"/>
          <w:lang w:val="es-ES"/>
        </w:rPr>
        <w:t>Políticas de la escritura literaria</w:t>
      </w:r>
    </w:p>
    <w:p w:rsidR="00F079C2" w:rsidP="00F079C2" w:rsidRDefault="00F079C2" w14:paraId="459CA426" w14:textId="77777777">
      <w:pPr>
        <w:rPr>
          <w:lang w:val="es-ES"/>
        </w:rPr>
      </w:pPr>
    </w:p>
    <w:p w:rsidRPr="002F352A" w:rsidR="00F079C2" w:rsidP="1B58D0A4" w:rsidRDefault="00F079C2" w14:paraId="255230BB" w14:textId="7001BEE3">
      <w:pPr>
        <w:rPr>
          <w:rFonts w:ascii="Times New Roman" w:hAnsi="Times New Roman"/>
          <w:b w:val="1"/>
          <w:bCs w:val="1"/>
          <w:caps w:val="1"/>
          <w:lang w:val="es-ES"/>
        </w:rPr>
      </w:pPr>
      <w:r w:rsidRPr="1B58D0A4" w:rsidR="00F079C2">
        <w:rPr>
          <w:rFonts w:ascii="Times New Roman" w:hAnsi="Times New Roman"/>
          <w:b w:val="1"/>
          <w:bCs w:val="1"/>
          <w:caps w:val="1"/>
          <w:lang w:val="es-ES"/>
        </w:rPr>
        <w:t xml:space="preserve">Mesa redonda: </w:t>
      </w:r>
      <w:r w:rsidRPr="1B58D0A4" w:rsidR="00F079C2">
        <w:rPr>
          <w:rFonts w:ascii="Times New Roman" w:hAnsi="Times New Roman"/>
          <w:b w:val="1"/>
          <w:bCs w:val="1"/>
          <w:i w:val="1"/>
          <w:iCs w:val="1"/>
          <w:lang w:val="es-ES"/>
        </w:rPr>
        <w:t>Futuros al margen: proyecciones desde la literatura chilena</w:t>
      </w:r>
    </w:p>
    <w:p w:rsidRPr="00DA0B1E" w:rsidR="00F079C2" w:rsidP="00F079C2" w:rsidRDefault="00F079C2" w14:paraId="5D243120" w14:textId="77777777">
      <w:pPr>
        <w:rPr>
          <w:lang w:val="es-ES"/>
        </w:rPr>
      </w:pPr>
    </w:p>
    <w:p w:rsidRPr="00F079C2" w:rsidR="00F079C2" w:rsidRDefault="00F079C2" w14:paraId="507D857F" w14:textId="77777777">
      <w:pPr>
        <w:rPr>
          <w:lang w:val="es-ES"/>
        </w:rPr>
      </w:pPr>
    </w:p>
    <w:sectPr w:rsidRPr="00F079C2" w:rsidR="00F079C2" w:rsidSect="005311CC">
      <w:pgSz w:w="11900" w:h="16840" w:orient="portrait"/>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9C2"/>
    <w:rsid w:val="00F079C2"/>
    <w:rsid w:val="1B58D0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06068"/>
  <w15:chartTrackingRefBased/>
  <w15:docId w15:val="{83F509C0-01A6-40BD-B548-5D186000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079C2"/>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941AB2-592F-4082-86AE-63AECE832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732BB4-1916-40D8-84A2-FF00C217797B}">
  <ds:schemaRefs>
    <ds:schemaRef ds:uri="http://schemas.microsoft.com/sharepoint/v3/contenttype/forms"/>
  </ds:schemaRefs>
</ds:datastoreItem>
</file>

<file path=customXml/itemProps3.xml><?xml version="1.0" encoding="utf-8"?>
<ds:datastoreItem xmlns:ds="http://schemas.openxmlformats.org/officeDocument/2006/customXml" ds:itemID="{657FF00E-FA3F-4121-A245-B40B512D808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2021-05-26T16:51:00.0000000Z</dcterms:created>
  <dcterms:modified xsi:type="dcterms:W3CDTF">2021-05-29T14:50:39.2739924Z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