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7400" w:rsidP="009E7400" w:rsidRDefault="009E7400" w14:paraId="50BDBB29" w14:textId="77777777">
      <w:pPr>
        <w:pBdr>
          <w:top w:val="single" w:color="auto" w:sz="4" w:space="1"/>
          <w:left w:val="single" w:color="auto" w:sz="4" w:space="4"/>
          <w:bottom w:val="single" w:color="auto" w:sz="4" w:space="1"/>
          <w:right w:val="single" w:color="auto" w:sz="4" w:space="4"/>
        </w:pBdr>
        <w:ind w:left="0" w:hanging="2"/>
        <w:jc w:val="center"/>
        <w:rPr>
          <w:rFonts w:ascii="Times New Roman" w:hAnsi="Times New Roman"/>
          <w:b/>
          <w:caps/>
          <w:sz w:val="22"/>
          <w:szCs w:val="22"/>
        </w:rPr>
      </w:pPr>
    </w:p>
    <w:p w:rsidR="009E7400" w:rsidP="009E7400" w:rsidRDefault="009E7400" w14:paraId="19C1F933" w14:textId="77777777">
      <w:pPr>
        <w:pBdr>
          <w:top w:val="single" w:color="auto" w:sz="4" w:space="1"/>
          <w:left w:val="single" w:color="auto" w:sz="4" w:space="4"/>
          <w:bottom w:val="single" w:color="auto" w:sz="4" w:space="1"/>
          <w:right w:val="single" w:color="auto" w:sz="4" w:space="4"/>
        </w:pBdr>
        <w:spacing w:line="276" w:lineRule="auto"/>
        <w:ind w:left="0" w:hanging="2"/>
        <w:jc w:val="center"/>
        <w:rPr>
          <w:rFonts w:ascii="Times New Roman" w:hAnsi="Times New Roman"/>
          <w:b/>
          <w:caps/>
          <w:lang w:val="es-ES"/>
        </w:rPr>
      </w:pPr>
      <w:r>
        <w:rPr>
          <w:rFonts w:ascii="Times New Roman" w:hAnsi="Times New Roman"/>
          <w:b/>
          <w:caps/>
          <w:lang w:val="es-ES"/>
        </w:rPr>
        <w:t xml:space="preserve">IILI 2021 - XLIII Congreso Internacional </w:t>
      </w:r>
    </w:p>
    <w:p w:rsidR="009E7400" w:rsidP="009E7400" w:rsidRDefault="009E7400" w14:paraId="4181E32F" w14:textId="77777777">
      <w:pPr>
        <w:pBdr>
          <w:top w:val="single" w:color="auto" w:sz="4" w:space="1"/>
          <w:left w:val="single" w:color="auto" w:sz="4" w:space="4"/>
          <w:bottom w:val="single" w:color="auto" w:sz="4" w:space="1"/>
          <w:right w:val="single" w:color="auto" w:sz="4" w:space="4"/>
        </w:pBdr>
        <w:spacing w:line="276" w:lineRule="auto"/>
        <w:ind w:left="0" w:hanging="2"/>
        <w:jc w:val="center"/>
        <w:rPr>
          <w:rFonts w:ascii="Times New Roman" w:hAnsi="Times New Roman"/>
          <w:b/>
          <w:lang w:val="es-ES"/>
        </w:rPr>
      </w:pPr>
      <w:proofErr w:type="spellStart"/>
      <w:r>
        <w:rPr>
          <w:rFonts w:ascii="Times New Roman" w:hAnsi="Times New Roman"/>
          <w:b/>
          <w:lang w:val="es-ES"/>
        </w:rPr>
        <w:t>Université</w:t>
      </w:r>
      <w:proofErr w:type="spellEnd"/>
      <w:r>
        <w:rPr>
          <w:rFonts w:ascii="Times New Roman" w:hAnsi="Times New Roman"/>
          <w:b/>
          <w:lang w:val="es-ES"/>
        </w:rPr>
        <w:t xml:space="preserve"> de Reims Champagne-Ardennes</w:t>
      </w:r>
    </w:p>
    <w:p w:rsidR="009E7400" w:rsidP="009E7400" w:rsidRDefault="009E7400" w14:paraId="2EF54AC2" w14:textId="77777777">
      <w:pPr>
        <w:pBdr>
          <w:top w:val="single" w:color="auto" w:sz="4" w:space="1"/>
          <w:left w:val="single" w:color="auto" w:sz="4" w:space="4"/>
          <w:bottom w:val="single" w:color="auto" w:sz="4" w:space="1"/>
          <w:right w:val="single" w:color="auto" w:sz="4" w:space="4"/>
        </w:pBdr>
        <w:spacing w:line="276" w:lineRule="auto"/>
        <w:ind w:left="0" w:hanging="2"/>
        <w:jc w:val="center"/>
        <w:rPr>
          <w:rFonts w:ascii="Times New Roman" w:hAnsi="Times New Roman"/>
          <w:b/>
          <w:lang w:val="es-ES"/>
        </w:rPr>
      </w:pPr>
      <w:r>
        <w:rPr>
          <w:rFonts w:ascii="Times New Roman" w:hAnsi="Times New Roman"/>
          <w:b/>
          <w:lang w:val="es-ES"/>
        </w:rPr>
        <w:t>Reims, 6-9 de julio 2021</w:t>
      </w:r>
    </w:p>
    <w:p w:rsidR="009E7400" w:rsidP="009E7400" w:rsidRDefault="009E7400" w14:paraId="1341AF4C" w14:textId="77777777">
      <w:pPr>
        <w:pBdr>
          <w:top w:val="single" w:color="auto" w:sz="4" w:space="1"/>
          <w:left w:val="single" w:color="auto" w:sz="4" w:space="4"/>
          <w:bottom w:val="single" w:color="auto" w:sz="4" w:space="1"/>
          <w:right w:val="single" w:color="auto" w:sz="4" w:space="4"/>
        </w:pBdr>
        <w:spacing w:line="276" w:lineRule="auto"/>
        <w:ind w:left="0" w:hanging="2"/>
        <w:jc w:val="center"/>
        <w:rPr>
          <w:rFonts w:ascii="Times New Roman" w:hAnsi="Times New Roman"/>
          <w:b/>
          <w:i/>
          <w:color w:val="D26508"/>
          <w:lang w:val="es-ES"/>
        </w:rPr>
      </w:pPr>
      <w:r>
        <w:rPr>
          <w:rFonts w:ascii="Times New Roman" w:hAnsi="Times New Roman"/>
          <w:b/>
          <w:i/>
          <w:color w:val="D26508"/>
          <w:lang w:val="es-ES"/>
        </w:rPr>
        <w:t xml:space="preserve">Cuerpos: miradas poéticas, significaciones políticas </w:t>
      </w:r>
    </w:p>
    <w:p w:rsidR="009E7400" w:rsidP="009E7400" w:rsidRDefault="009E7400" w14:paraId="59EEC0A3" w14:textId="77777777">
      <w:pPr>
        <w:pStyle w:val="Normal1"/>
        <w:rPr>
          <w:rFonts w:ascii="Times New Roman" w:hAnsi="Times New Roman" w:eastAsia="Times New Roman" w:cs="Times New Roman"/>
          <w:sz w:val="22"/>
          <w:szCs w:val="22"/>
        </w:rPr>
      </w:pPr>
    </w:p>
    <w:p w:rsidR="009E7400" w:rsidP="009E7400" w:rsidRDefault="009E7400" w14:paraId="376118BD" w14:textId="77777777">
      <w:pPr>
        <w:pStyle w:val="Normal1"/>
        <w:rPr>
          <w:rFonts w:ascii="Times New Roman" w:hAnsi="Times New Roman" w:eastAsia="Times New Roman" w:cs="Times New Roman"/>
          <w:b/>
          <w:smallCaps/>
          <w:sz w:val="22"/>
          <w:szCs w:val="22"/>
        </w:rPr>
      </w:pPr>
    </w:p>
    <w:p w:rsidRPr="00A92E28" w:rsidR="009E7400" w:rsidP="009E7400" w:rsidRDefault="009E7400" w14:paraId="22FED73D" w14:textId="77777777">
      <w:pPr>
        <w:pStyle w:val="Normal1"/>
        <w:rPr>
          <w:rFonts w:ascii="Times New Roman" w:hAnsi="Times New Roman" w:eastAsia="Times New Roman" w:cs="Times New Roman"/>
          <w:b/>
        </w:rPr>
      </w:pPr>
      <w:r w:rsidRPr="00A92E28">
        <w:rPr>
          <w:rFonts w:ascii="Times New Roman" w:hAnsi="Times New Roman" w:eastAsia="Times New Roman" w:cs="Times New Roman"/>
          <w:b/>
        </w:rPr>
        <w:t>Martina BORTIGNON</w:t>
      </w:r>
    </w:p>
    <w:p w:rsidR="009E7400" w:rsidP="009E7400" w:rsidRDefault="009E7400" w14:paraId="25940B11" w14:textId="77777777">
      <w:pPr>
        <w:pStyle w:val="Normal1"/>
        <w:rPr>
          <w:rFonts w:ascii="Times New Roman" w:hAnsi="Times New Roman" w:eastAsia="Times New Roman" w:cs="Times New Roman"/>
        </w:rPr>
      </w:pPr>
    </w:p>
    <w:p w:rsidR="009E7400" w:rsidP="009E7400" w:rsidRDefault="009E7400" w14:paraId="3B793EBA" w14:textId="77777777">
      <w:pPr>
        <w:pStyle w:val="Normal1"/>
        <w:rPr>
          <w:rFonts w:ascii="Times New Roman" w:hAnsi="Times New Roman" w:eastAsia="Times New Roman" w:cs="Times New Roman"/>
        </w:rPr>
      </w:pPr>
      <w:r w:rsidRPr="00A92E28">
        <w:rPr>
          <w:rFonts w:ascii="Times New Roman" w:hAnsi="Times New Roman" w:eastAsia="Times New Roman" w:cs="Times New Roman"/>
        </w:rPr>
        <w:t>Universidad Adolfo Ibáñez</w:t>
      </w:r>
      <w:r w:rsidRPr="00A92E28">
        <w:rPr>
          <w:rFonts w:ascii="Times New Roman" w:hAnsi="Times New Roman" w:eastAsia="Times New Roman" w:cs="Times New Roman"/>
        </w:rPr>
        <w:tab/>
      </w:r>
      <w:r w:rsidRPr="00A92E28">
        <w:rPr>
          <w:rFonts w:ascii="Times New Roman" w:hAnsi="Times New Roman" w:eastAsia="Times New Roman" w:cs="Times New Roman"/>
        </w:rPr>
        <w:tab/>
      </w:r>
    </w:p>
    <w:p w:rsidRPr="00A92E28" w:rsidR="009E7400" w:rsidP="009E7400" w:rsidRDefault="009E7400" w14:paraId="35683E36" w14:textId="77777777">
      <w:pPr>
        <w:pStyle w:val="Normal1"/>
        <w:rPr>
          <w:rFonts w:ascii="Times New Roman" w:hAnsi="Times New Roman" w:eastAsia="Times New Roman" w:cs="Times New Roman"/>
        </w:rPr>
      </w:pPr>
    </w:p>
    <w:p w:rsidRPr="00C66031" w:rsidR="009E7400" w:rsidP="009E7400" w:rsidRDefault="009E7400" w14:paraId="7B2772E2" w14:textId="77777777">
      <w:pPr>
        <w:pStyle w:val="Normal1"/>
        <w:jc w:val="both"/>
        <w:rPr>
          <w:rFonts w:ascii="Times New Roman" w:hAnsi="Times New Roman" w:eastAsia="Times New Roman" w:cs="Times New Roman"/>
          <w:b/>
        </w:rPr>
      </w:pPr>
      <w:r w:rsidRPr="00A92E28">
        <w:rPr>
          <w:rFonts w:ascii="Times New Roman" w:hAnsi="Times New Roman" w:eastAsia="Times New Roman" w:cs="Times New Roman"/>
        </w:rPr>
        <w:t xml:space="preserve">Título: </w:t>
      </w:r>
      <w:r w:rsidRPr="00C66031">
        <w:rPr>
          <w:rFonts w:ascii="Times New Roman" w:hAnsi="Times New Roman" w:eastAsia="Times New Roman" w:cs="Times New Roman"/>
          <w:b/>
        </w:rPr>
        <w:t xml:space="preserve">“Tránsitos entre dimensiones (in)conmensurables. Problematizando el asombro en </w:t>
      </w:r>
      <w:r w:rsidRPr="00C66031">
        <w:rPr>
          <w:rFonts w:ascii="Times New Roman" w:hAnsi="Times New Roman" w:eastAsia="Times New Roman" w:cs="Times New Roman"/>
          <w:b/>
          <w:i/>
        </w:rPr>
        <w:t>Nostalgia de la luz</w:t>
      </w:r>
      <w:r w:rsidRPr="00C66031">
        <w:rPr>
          <w:rFonts w:ascii="Times New Roman" w:hAnsi="Times New Roman" w:eastAsia="Times New Roman" w:cs="Times New Roman"/>
          <w:b/>
        </w:rPr>
        <w:t xml:space="preserve"> (2010) de Patricio Guzmán y</w:t>
      </w:r>
      <w:r w:rsidRPr="00C66031">
        <w:rPr>
          <w:rFonts w:ascii="Times New Roman" w:hAnsi="Times New Roman" w:eastAsia="Times New Roman" w:cs="Times New Roman"/>
          <w:b/>
          <w:i/>
        </w:rPr>
        <w:t xml:space="preserve"> </w:t>
      </w:r>
      <w:proofErr w:type="spellStart"/>
      <w:r w:rsidRPr="00C66031">
        <w:rPr>
          <w:rFonts w:ascii="Times New Roman" w:hAnsi="Times New Roman" w:eastAsia="Times New Roman" w:cs="Times New Roman"/>
          <w:b/>
          <w:i/>
        </w:rPr>
        <w:t>The</w:t>
      </w:r>
      <w:proofErr w:type="spellEnd"/>
      <w:r w:rsidRPr="00C66031">
        <w:rPr>
          <w:rFonts w:ascii="Times New Roman" w:hAnsi="Times New Roman" w:eastAsia="Times New Roman" w:cs="Times New Roman"/>
          <w:b/>
          <w:i/>
        </w:rPr>
        <w:t xml:space="preserve"> </w:t>
      </w:r>
      <w:proofErr w:type="spellStart"/>
      <w:r w:rsidRPr="00C66031">
        <w:rPr>
          <w:rFonts w:ascii="Times New Roman" w:hAnsi="Times New Roman" w:eastAsia="Times New Roman" w:cs="Times New Roman"/>
          <w:b/>
          <w:i/>
        </w:rPr>
        <w:t>tree</w:t>
      </w:r>
      <w:proofErr w:type="spellEnd"/>
      <w:r w:rsidRPr="00C66031">
        <w:rPr>
          <w:rFonts w:ascii="Times New Roman" w:hAnsi="Times New Roman" w:eastAsia="Times New Roman" w:cs="Times New Roman"/>
          <w:b/>
          <w:i/>
        </w:rPr>
        <w:t xml:space="preserve"> </w:t>
      </w:r>
      <w:proofErr w:type="spellStart"/>
      <w:r w:rsidRPr="00C66031">
        <w:rPr>
          <w:rFonts w:ascii="Times New Roman" w:hAnsi="Times New Roman" w:eastAsia="Times New Roman" w:cs="Times New Roman"/>
          <w:b/>
          <w:i/>
        </w:rPr>
        <w:t>of</w:t>
      </w:r>
      <w:proofErr w:type="spellEnd"/>
      <w:r w:rsidRPr="00C66031">
        <w:rPr>
          <w:rFonts w:ascii="Times New Roman" w:hAnsi="Times New Roman" w:eastAsia="Times New Roman" w:cs="Times New Roman"/>
          <w:b/>
          <w:i/>
        </w:rPr>
        <w:t xml:space="preserve"> </w:t>
      </w:r>
      <w:proofErr w:type="spellStart"/>
      <w:r w:rsidRPr="00C66031">
        <w:rPr>
          <w:rFonts w:ascii="Times New Roman" w:hAnsi="Times New Roman" w:eastAsia="Times New Roman" w:cs="Times New Roman"/>
          <w:b/>
          <w:i/>
        </w:rPr>
        <w:t>life</w:t>
      </w:r>
      <w:proofErr w:type="spellEnd"/>
      <w:r w:rsidRPr="00C66031">
        <w:rPr>
          <w:rFonts w:ascii="Times New Roman" w:hAnsi="Times New Roman" w:eastAsia="Times New Roman" w:cs="Times New Roman"/>
          <w:b/>
        </w:rPr>
        <w:t xml:space="preserve"> (2011) de Terrence Malick”</w:t>
      </w:r>
    </w:p>
    <w:p w:rsidR="009E7400" w:rsidP="009E7400" w:rsidRDefault="009E7400" w14:paraId="336F3D11" w14:textId="77777777">
      <w:pPr>
        <w:pStyle w:val="Normal1"/>
        <w:jc w:val="both"/>
        <w:rPr>
          <w:rFonts w:ascii="Times New Roman" w:hAnsi="Times New Roman" w:eastAsia="Times New Roman" w:cs="Times New Roman"/>
        </w:rPr>
      </w:pPr>
    </w:p>
    <w:p w:rsidR="009E7400" w:rsidP="009E7400" w:rsidRDefault="009E7400" w14:paraId="4D867D7B" w14:textId="77777777">
      <w:pPr>
        <w:pStyle w:val="Normal1"/>
        <w:jc w:val="both"/>
        <w:rPr>
          <w:rFonts w:ascii="Times New Roman" w:hAnsi="Times New Roman" w:eastAsia="Times New Roman" w:cs="Times New Roman"/>
        </w:rPr>
      </w:pPr>
      <w:r w:rsidRPr="00C66031">
        <w:rPr>
          <w:rFonts w:ascii="Times New Roman" w:hAnsi="Times New Roman" w:eastAsia="Times New Roman" w:cs="Times New Roman"/>
        </w:rPr>
        <w:t xml:space="preserve">Propuesta: </w:t>
      </w:r>
    </w:p>
    <w:p w:rsidRPr="00C66031" w:rsidR="009E7400" w:rsidP="009E7400" w:rsidRDefault="009E7400" w14:paraId="3B88BC63" w14:textId="77777777">
      <w:pPr>
        <w:pStyle w:val="Normal1"/>
        <w:jc w:val="both"/>
        <w:rPr>
          <w:rFonts w:ascii="Times New Roman" w:hAnsi="Times New Roman" w:eastAsia="Times New Roman" w:cs="Times New Roman"/>
        </w:rPr>
      </w:pPr>
    </w:p>
    <w:p w:rsidRPr="00A92E28" w:rsidR="009E7400" w:rsidP="009E7400" w:rsidRDefault="009E7400" w14:paraId="07B0009A" w14:textId="77777777">
      <w:pPr>
        <w:pStyle w:val="Normal1"/>
        <w:jc w:val="both"/>
        <w:rPr>
          <w:rFonts w:ascii="Times New Roman" w:hAnsi="Times New Roman" w:eastAsia="Times New Roman" w:cs="Times New Roman"/>
        </w:rPr>
      </w:pPr>
      <w:r w:rsidRPr="00A92E28">
        <w:rPr>
          <w:rFonts w:ascii="Times New Roman" w:hAnsi="Times New Roman" w:eastAsia="Times New Roman" w:cs="Times New Roman"/>
        </w:rPr>
        <w:t xml:space="preserve">En la presente ponencia se analizará el sentimiento del asombro como vínculo móvil entre, por un lado, la percepción y emoción humanas y, por otro lado, la naturaleza en su conjunto de dimensiones y escalas que van más allá de los tiempos de la vida humana en </w:t>
      </w:r>
      <w:proofErr w:type="spellStart"/>
      <w:r w:rsidRPr="00A92E28">
        <w:rPr>
          <w:rFonts w:ascii="Times New Roman" w:hAnsi="Times New Roman" w:eastAsia="Times New Roman" w:cs="Times New Roman"/>
          <w:i/>
        </w:rPr>
        <w:t>The</w:t>
      </w:r>
      <w:proofErr w:type="spellEnd"/>
      <w:r w:rsidRPr="00A92E28">
        <w:rPr>
          <w:rFonts w:ascii="Times New Roman" w:hAnsi="Times New Roman" w:eastAsia="Times New Roman" w:cs="Times New Roman"/>
          <w:i/>
        </w:rPr>
        <w:t xml:space="preserve"> </w:t>
      </w:r>
      <w:proofErr w:type="spellStart"/>
      <w:r w:rsidRPr="00A92E28">
        <w:rPr>
          <w:rFonts w:ascii="Times New Roman" w:hAnsi="Times New Roman" w:eastAsia="Times New Roman" w:cs="Times New Roman"/>
          <w:i/>
        </w:rPr>
        <w:t>tree</w:t>
      </w:r>
      <w:proofErr w:type="spellEnd"/>
      <w:r w:rsidRPr="00A92E28">
        <w:rPr>
          <w:rFonts w:ascii="Times New Roman" w:hAnsi="Times New Roman" w:eastAsia="Times New Roman" w:cs="Times New Roman"/>
          <w:i/>
        </w:rPr>
        <w:t xml:space="preserve"> </w:t>
      </w:r>
      <w:proofErr w:type="spellStart"/>
      <w:r w:rsidRPr="00A92E28">
        <w:rPr>
          <w:rFonts w:ascii="Times New Roman" w:hAnsi="Times New Roman" w:eastAsia="Times New Roman" w:cs="Times New Roman"/>
          <w:i/>
        </w:rPr>
        <w:t>of</w:t>
      </w:r>
      <w:proofErr w:type="spellEnd"/>
      <w:r w:rsidRPr="00A92E28">
        <w:rPr>
          <w:rFonts w:ascii="Times New Roman" w:hAnsi="Times New Roman" w:eastAsia="Times New Roman" w:cs="Times New Roman"/>
          <w:i/>
        </w:rPr>
        <w:t xml:space="preserve"> </w:t>
      </w:r>
      <w:proofErr w:type="spellStart"/>
      <w:r w:rsidRPr="00A92E28">
        <w:rPr>
          <w:rFonts w:ascii="Times New Roman" w:hAnsi="Times New Roman" w:eastAsia="Times New Roman" w:cs="Times New Roman"/>
          <w:i/>
        </w:rPr>
        <w:t>life</w:t>
      </w:r>
      <w:proofErr w:type="spellEnd"/>
      <w:r w:rsidRPr="00A92E28">
        <w:rPr>
          <w:rFonts w:ascii="Times New Roman" w:hAnsi="Times New Roman" w:eastAsia="Times New Roman" w:cs="Times New Roman"/>
        </w:rPr>
        <w:t xml:space="preserve"> (2011) de Terrence Malick y </w:t>
      </w:r>
      <w:r w:rsidRPr="00A92E28">
        <w:rPr>
          <w:rFonts w:ascii="Times New Roman" w:hAnsi="Times New Roman" w:eastAsia="Times New Roman" w:cs="Times New Roman"/>
          <w:i/>
        </w:rPr>
        <w:t>Nostalgia de la luz</w:t>
      </w:r>
      <w:r w:rsidRPr="00A92E28">
        <w:rPr>
          <w:rFonts w:ascii="Times New Roman" w:hAnsi="Times New Roman" w:eastAsia="Times New Roman" w:cs="Times New Roman"/>
        </w:rPr>
        <w:t xml:space="preserve"> (2010) de Patricio Guzmán, poniendo un énfasis especial en los vaivenes estéticos que se establecen entre dichos niveles por medio de montaje y de los encuadres. Mientras Malick en su </w:t>
      </w:r>
      <w:proofErr w:type="gramStart"/>
      <w:r w:rsidRPr="00A92E28">
        <w:rPr>
          <w:rFonts w:ascii="Times New Roman" w:hAnsi="Times New Roman" w:eastAsia="Times New Roman" w:cs="Times New Roman"/>
        </w:rPr>
        <w:t>film</w:t>
      </w:r>
      <w:proofErr w:type="gramEnd"/>
      <w:r w:rsidRPr="00A92E28">
        <w:rPr>
          <w:rFonts w:ascii="Times New Roman" w:hAnsi="Times New Roman" w:eastAsia="Times New Roman" w:cs="Times New Roman"/>
        </w:rPr>
        <w:t xml:space="preserve"> utiliza imágenes de tersa belleza de la naturaleza virgen para desarrollar una reflexión sobre la complejidad y la proyección a un nivel casi sagrado de los lazos familiares, Guzmán acude a los espacios inmensos del desierto de Atacama y del universo sideral para manifestar el sobreponerse de memorias nacionales dolorosas e irresueltas, en particular la de las familias de los desaparecidos. Asimismo, la escala específica de la percepción humana aparece problematizada a nivel estético, por </w:t>
      </w:r>
      <w:proofErr w:type="gramStart"/>
      <w:r w:rsidRPr="00A92E28">
        <w:rPr>
          <w:rFonts w:ascii="Times New Roman" w:hAnsi="Times New Roman" w:eastAsia="Times New Roman" w:cs="Times New Roman"/>
        </w:rPr>
        <w:t>ejemplo</w:t>
      </w:r>
      <w:proofErr w:type="gramEnd"/>
      <w:r w:rsidRPr="00A92E28">
        <w:rPr>
          <w:rFonts w:ascii="Times New Roman" w:hAnsi="Times New Roman" w:eastAsia="Times New Roman" w:cs="Times New Roman"/>
        </w:rPr>
        <w:t xml:space="preserve"> en el uso de la cámara cerca del suelo o a nivel de los personajes infantiles en movimiento, para captar los sonidos y las texturas de la caminata de las mujeres en el desierto en búsqueda de restos de seres queridos (Guzmán) o bien un punto de vista específico en las relaciones de los hijos con su padre (Malick). Haciendo hincapié en tales tránsitos formales, el objetivo es problematizar el sentimiento de asombro que la estética de estas obras parece favorecer y sus alcances respecto a la elaboración de la memoria o del trauma, pero también el papel que dicho asombro juega en el encararse de la existencia humana con escalas y ámbitos que la trascienden. </w:t>
      </w:r>
    </w:p>
    <w:p w:rsidRPr="00A92E28" w:rsidR="009E7400" w:rsidP="009E7400" w:rsidRDefault="009E7400" w14:paraId="0613D73C" w14:textId="77777777">
      <w:pPr>
        <w:pStyle w:val="Normal1"/>
        <w:rPr>
          <w:rFonts w:ascii="Times New Roman" w:hAnsi="Times New Roman" w:eastAsia="Times New Roman" w:cs="Times New Roman"/>
        </w:rPr>
      </w:pPr>
      <w:bookmarkStart w:name="_GoBack" w:id="0"/>
      <w:bookmarkEnd w:id="0"/>
    </w:p>
    <w:p w:rsidR="009E7400" w:rsidP="009E7400" w:rsidRDefault="009E7400" w14:paraId="4234D09E" w14:textId="77777777">
      <w:pPr>
        <w:pStyle w:val="Normal1"/>
        <w:rPr>
          <w:rFonts w:ascii="Times New Roman" w:hAnsi="Times New Roman" w:eastAsia="Times New Roman" w:cs="Times New Roman"/>
        </w:rPr>
      </w:pPr>
      <w:r w:rsidRPr="00A92E28">
        <w:rPr>
          <w:rFonts w:ascii="Times New Roman" w:hAnsi="Times New Roman" w:eastAsia="Times New Roman" w:cs="Times New Roman"/>
        </w:rPr>
        <w:t xml:space="preserve">Eje: </w:t>
      </w:r>
    </w:p>
    <w:p w:rsidR="009E7400" w:rsidP="009E7400" w:rsidRDefault="009E7400" w14:paraId="7F342399" w14:textId="77777777">
      <w:pPr>
        <w:pStyle w:val="Normal1"/>
        <w:rPr>
          <w:rFonts w:ascii="Times New Roman" w:hAnsi="Times New Roman" w:eastAsia="Times New Roman" w:cs="Times New Roman"/>
        </w:rPr>
      </w:pPr>
    </w:p>
    <w:p w:rsidRPr="00A92E28" w:rsidR="009E7400" w:rsidP="009E7400" w:rsidRDefault="009E7400" w14:paraId="0E469B7F" w14:textId="77777777">
      <w:pPr>
        <w:pStyle w:val="Normal1"/>
        <w:rPr>
          <w:rFonts w:ascii="Times New Roman" w:hAnsi="Times New Roman" w:eastAsia="Times New Roman" w:cs="Times New Roman"/>
          <w:b/>
        </w:rPr>
      </w:pPr>
      <w:r w:rsidRPr="00A92E28">
        <w:rPr>
          <w:rFonts w:ascii="Times New Roman" w:hAnsi="Times New Roman" w:eastAsia="Times New Roman" w:cs="Times New Roman"/>
          <w:b/>
        </w:rPr>
        <w:t>I) CUERPOS, ESCRITURAS CRÍTICAS</w:t>
      </w:r>
    </w:p>
    <w:p w:rsidR="009E7400" w:rsidP="009E7400" w:rsidRDefault="009E7400" w14:paraId="45C814CD" w14:textId="77777777">
      <w:pPr>
        <w:pStyle w:val="Normal1"/>
        <w:rPr>
          <w:rFonts w:ascii="Times New Roman" w:hAnsi="Times New Roman" w:eastAsia="Times New Roman" w:cs="Times New Roman"/>
        </w:rPr>
      </w:pPr>
      <w:proofErr w:type="spellStart"/>
      <w:r w:rsidRPr="00A92E28">
        <w:rPr>
          <w:rFonts w:ascii="Times New Roman" w:hAnsi="Times New Roman" w:eastAsia="Times New Roman" w:cs="Times New Roman"/>
        </w:rPr>
        <w:t>Corpografías</w:t>
      </w:r>
      <w:proofErr w:type="spellEnd"/>
      <w:r w:rsidRPr="00A92E28">
        <w:rPr>
          <w:rFonts w:ascii="Times New Roman" w:hAnsi="Times New Roman" w:eastAsia="Times New Roman" w:cs="Times New Roman"/>
        </w:rPr>
        <w:t xml:space="preserve"> urbanas (experiencias corporales de la ciudad)</w:t>
      </w:r>
    </w:p>
    <w:p w:rsidRPr="00A92E28" w:rsidR="009E7400" w:rsidP="009E7400" w:rsidRDefault="009E7400" w14:paraId="27D2E91F" w14:textId="77777777">
      <w:pPr>
        <w:pStyle w:val="Normal1"/>
        <w:rPr>
          <w:rFonts w:ascii="Times New Roman" w:hAnsi="Times New Roman" w:eastAsia="Times New Roman" w:cs="Times New Roman"/>
        </w:rPr>
      </w:pPr>
    </w:p>
    <w:p w:rsidRPr="005F3F6A" w:rsidR="009E7400" w:rsidP="77EEF688" w:rsidRDefault="009E7400" w14:paraId="61460C46" w14:textId="4229EDBF">
      <w:pPr>
        <w:pStyle w:val="Normal1"/>
        <w:rPr>
          <w:rFonts w:ascii="Times New Roman" w:hAnsi="Times New Roman" w:eastAsia="Times New Roman" w:cs="Times New Roman"/>
          <w:b w:val="1"/>
          <w:bCs w:val="1"/>
        </w:rPr>
      </w:pPr>
      <w:r w:rsidRPr="77EEF688" w:rsidR="009E7400">
        <w:rPr>
          <w:rFonts w:ascii="Times New Roman" w:hAnsi="Times New Roman" w:eastAsia="Times New Roman" w:cs="Times New Roman"/>
          <w:b w:val="1"/>
          <w:bCs w:val="1"/>
        </w:rPr>
        <w:t xml:space="preserve">MESA REDONDA: </w:t>
      </w:r>
      <w:r w:rsidRPr="77EEF688" w:rsidR="009E7400">
        <w:rPr>
          <w:rFonts w:ascii="Times New Roman" w:hAnsi="Times New Roman" w:eastAsia="Times New Roman" w:cs="Times New Roman"/>
          <w:b w:val="1"/>
          <w:bCs w:val="1"/>
          <w:i w:val="1"/>
          <w:iCs w:val="1"/>
        </w:rPr>
        <w:t xml:space="preserve">Migración y </w:t>
      </w:r>
      <w:r w:rsidRPr="77EEF688" w:rsidR="009E7400">
        <w:rPr>
          <w:rFonts w:ascii="Times New Roman" w:hAnsi="Times New Roman" w:eastAsia="Times New Roman" w:cs="Times New Roman"/>
          <w:b w:val="1"/>
          <w:bCs w:val="1"/>
          <w:i w:val="1"/>
          <w:iCs w:val="1"/>
        </w:rPr>
        <w:t>estetización</w:t>
      </w:r>
      <w:r w:rsidRPr="77EEF688" w:rsidR="009E7400">
        <w:rPr>
          <w:rFonts w:ascii="Times New Roman" w:hAnsi="Times New Roman" w:eastAsia="Times New Roman" w:cs="Times New Roman"/>
          <w:b w:val="1"/>
          <w:bCs w:val="1"/>
          <w:i w:val="1"/>
          <w:iCs w:val="1"/>
        </w:rPr>
        <w:t xml:space="preserve"> de los cuerpos en el imaginario urbano y natural en la literatura y el cine latinoamericano</w:t>
      </w:r>
    </w:p>
    <w:p w:rsidRPr="005F3F6A" w:rsidR="009E7400" w:rsidP="009E7400" w:rsidRDefault="009E7400" w14:paraId="5751B43E" w14:textId="77777777">
      <w:pPr>
        <w:ind w:left="0" w:leftChars="0" w:firstLine="0" w:firstLineChars="0"/>
        <w:rPr>
          <w:lang w:val="es-ES"/>
        </w:rPr>
      </w:pPr>
    </w:p>
    <w:p w:rsidRPr="00A92E28" w:rsidR="009E7400" w:rsidP="009E7400" w:rsidRDefault="009E7400" w14:paraId="747C8E0E" w14:textId="77777777">
      <w:pPr>
        <w:pStyle w:val="Normal1"/>
        <w:jc w:val="both"/>
        <w:rPr>
          <w:rFonts w:ascii="Times New Roman" w:hAnsi="Times New Roman" w:eastAsia="Times New Roman" w:cs="Times New Roman"/>
        </w:rPr>
      </w:pPr>
    </w:p>
    <w:p w:rsidRPr="00A92E28" w:rsidR="009E7400" w:rsidP="009E7400" w:rsidRDefault="009E7400" w14:paraId="69629FA0" w14:textId="77777777">
      <w:pPr>
        <w:ind w:left="0" w:hanging="2"/>
        <w:rPr>
          <w:rFonts w:ascii="Times New Roman" w:hAnsi="Times New Roman" w:cs="Times New Roman"/>
          <w:lang w:val="es-ES"/>
        </w:rPr>
      </w:pPr>
    </w:p>
    <w:p w:rsidRPr="009E7400" w:rsidR="009E7400" w:rsidRDefault="009E7400" w14:paraId="0792B6BD" w14:textId="77777777">
      <w:pPr>
        <w:ind w:left="0" w:hanging="2"/>
        <w:rPr>
          <w:lang w:val="es-ES"/>
        </w:rPr>
      </w:pPr>
    </w:p>
    <w:sectPr w:rsidRPr="009E7400" w:rsidR="009E7400">
      <w:pgSz w:w="11900" w:h="16840" w:orient="portrait"/>
      <w:pgMar w:top="1417" w:right="1417" w:bottom="1417"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400"/>
    <w:rsid w:val="009E7400"/>
    <w:rsid w:val="77EEF6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5F30A"/>
  <w15:chartTrackingRefBased/>
  <w15:docId w15:val="{26891B31-63F2-4E9E-8EE2-807E1BFE3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rsid w:val="009E7400"/>
    <w:pPr>
      <w:pBdr>
        <w:top w:val="nil"/>
        <w:left w:val="nil"/>
        <w:bottom w:val="nil"/>
        <w:right w:val="nil"/>
        <w:between w:val="nil"/>
        <w:bar w:val="nil"/>
      </w:pBdr>
      <w:suppressAutoHyphens/>
      <w:spacing w:after="0" w:line="1" w:lineRule="atLeast"/>
      <w:ind w:left="-1" w:leftChars="-1" w:hanging="1" w:hangingChars="1"/>
      <w:textDirection w:val="btLr"/>
      <w:textAlignment w:val="top"/>
      <w:outlineLvl w:val="0"/>
    </w:pPr>
    <w:rPr>
      <w:rFonts w:ascii="Cambria" w:hAnsi="Cambria" w:eastAsia="Cambria" w:cs="Cambria"/>
      <w:color w:val="000000"/>
      <w:position w:val="-1"/>
      <w:sz w:val="24"/>
      <w:szCs w:val="24"/>
      <w:bdr w:val="nil"/>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Normal1" w:customStyle="1">
    <w:name w:val="Normal1"/>
    <w:rsid w:val="009E7400"/>
    <w:pPr>
      <w:spacing w:after="0" w:line="240" w:lineRule="auto"/>
    </w:pPr>
    <w:rPr>
      <w:rFonts w:ascii="Cambria" w:hAnsi="Cambria" w:eastAsia="Cambria" w:cs="Cambri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1281DB-22E8-4999-BDCE-286F4C19EB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161888-6C0F-442A-81E4-291CC396CC3A}">
  <ds:schemaRefs>
    <ds:schemaRef ds:uri="http://schemas.microsoft.com/sharepoint/v3/contenttype/forms"/>
  </ds:schemaRefs>
</ds:datastoreItem>
</file>

<file path=customXml/itemProps3.xml><?xml version="1.0" encoding="utf-8"?>
<ds:datastoreItem xmlns:ds="http://schemas.openxmlformats.org/officeDocument/2006/customXml" ds:itemID="{CFB8596A-83E4-4D47-81E5-352C8D14A26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2021-05-27T07:34:00.0000000Z</dcterms:created>
  <dcterms:modified xsi:type="dcterms:W3CDTF">2021-06-02T09:31:42.2497552Z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