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4F5" w:rsidP="008014F5" w:rsidRDefault="008014F5" w14:paraId="4F184947"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8014F5" w:rsidP="008014F5" w:rsidRDefault="008014F5" w14:paraId="71C0012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8014F5" w:rsidP="008014F5" w:rsidRDefault="008014F5" w14:paraId="6DF8551C"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8014F5" w:rsidP="008014F5" w:rsidRDefault="008014F5" w14:paraId="6AE5F26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8014F5" w:rsidP="008014F5" w:rsidRDefault="008014F5" w14:paraId="1291548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Pr="008014F5" w:rsidR="008014F5" w:rsidP="008014F5" w:rsidRDefault="008014F5" w14:paraId="6C64834D" w14:textId="77777777">
      <w:pPr>
        <w:jc w:val="both"/>
        <w:rPr>
          <w:rFonts w:ascii="Times New Roman" w:hAnsi="Times New Roman"/>
          <w:b/>
          <w:lang w:val="es-ES"/>
        </w:rPr>
      </w:pPr>
    </w:p>
    <w:p w:rsidRPr="005A7F44" w:rsidR="008014F5" w:rsidP="008014F5" w:rsidRDefault="008014F5" w14:paraId="670E0D04" w14:textId="77777777">
      <w:pPr>
        <w:jc w:val="both"/>
        <w:rPr>
          <w:rFonts w:ascii="Times New Roman" w:hAnsi="Times New Roman"/>
          <w:lang w:val="en-US"/>
        </w:rPr>
      </w:pPr>
      <w:bookmarkStart w:name="_GoBack" w:id="0"/>
      <w:bookmarkEnd w:id="0"/>
      <w:r w:rsidRPr="005A7F44">
        <w:rPr>
          <w:rFonts w:ascii="Times New Roman" w:hAnsi="Times New Roman"/>
          <w:b/>
          <w:lang w:val="en-US"/>
        </w:rPr>
        <w:t>Daniel BALDERSTON</w:t>
      </w:r>
    </w:p>
    <w:p w:rsidR="008014F5" w:rsidP="008014F5" w:rsidRDefault="008014F5" w14:paraId="21164FF6" w14:textId="77777777">
      <w:pPr>
        <w:jc w:val="both"/>
        <w:rPr>
          <w:rFonts w:ascii="Times New Roman" w:hAnsi="Times New Roman"/>
          <w:lang w:val="en-US"/>
        </w:rPr>
      </w:pPr>
    </w:p>
    <w:p w:rsidRPr="008014F5" w:rsidR="008014F5" w:rsidP="008014F5" w:rsidRDefault="008014F5" w14:paraId="70064D5B" w14:textId="77777777">
      <w:pPr>
        <w:jc w:val="both"/>
        <w:rPr>
          <w:rFonts w:ascii="Times New Roman" w:hAnsi="Times New Roman"/>
          <w:lang w:val="en-US"/>
        </w:rPr>
      </w:pPr>
      <w:r w:rsidRPr="005A7F44">
        <w:rPr>
          <w:rFonts w:ascii="Times New Roman" w:hAnsi="Times New Roman"/>
          <w:lang w:val="en-US"/>
        </w:rPr>
        <w:t>University of Pittsburg</w:t>
      </w:r>
      <w:r w:rsidRPr="005A7F44">
        <w:rPr>
          <w:rFonts w:ascii="Times New Roman" w:hAnsi="Times New Roman"/>
          <w:lang w:val="en-US"/>
        </w:rPr>
        <w:tab/>
      </w:r>
    </w:p>
    <w:p w:rsidRPr="008014F5" w:rsidR="008014F5" w:rsidP="008014F5" w:rsidRDefault="008014F5" w14:paraId="3CD296B7" w14:textId="77777777">
      <w:pPr>
        <w:jc w:val="both"/>
        <w:rPr>
          <w:rFonts w:ascii="Times New Roman" w:hAnsi="Times New Roman"/>
          <w:lang w:val="en-US"/>
        </w:rPr>
      </w:pPr>
    </w:p>
    <w:p w:rsidRPr="005A7F44" w:rsidR="008014F5" w:rsidP="008014F5" w:rsidRDefault="008014F5" w14:paraId="75ECD1A7" w14:textId="77777777">
      <w:pPr>
        <w:jc w:val="both"/>
        <w:rPr>
          <w:rFonts w:ascii="Times New Roman" w:hAnsi="Times New Roman"/>
          <w:lang w:val="es-ES"/>
        </w:rPr>
      </w:pPr>
      <w:r w:rsidRPr="005A7F44">
        <w:rPr>
          <w:rFonts w:ascii="Times New Roman" w:hAnsi="Times New Roman"/>
          <w:lang w:val="es-ES"/>
        </w:rPr>
        <w:t>Título</w:t>
      </w:r>
      <w:r w:rsidRPr="005A7F44">
        <w:rPr>
          <w:rFonts w:ascii="Times New Roman" w:hAnsi="Times New Roman"/>
          <w:b/>
          <w:lang w:val="es-ES"/>
        </w:rPr>
        <w:t>: “El archivo de Ricardo Piglia en Princeton: dificultades y oportunidades”</w:t>
      </w:r>
    </w:p>
    <w:p w:rsidRPr="005A7F44" w:rsidR="008014F5" w:rsidP="008014F5" w:rsidRDefault="008014F5" w14:paraId="1933F872" w14:textId="77777777">
      <w:pPr>
        <w:jc w:val="both"/>
        <w:rPr>
          <w:rFonts w:ascii="Times New Roman" w:hAnsi="Times New Roman"/>
          <w:lang w:val="es-ES"/>
        </w:rPr>
      </w:pPr>
    </w:p>
    <w:p w:rsidR="008014F5" w:rsidP="008014F5" w:rsidRDefault="008014F5" w14:paraId="79CEDBCB" w14:textId="77777777">
      <w:pPr>
        <w:jc w:val="both"/>
        <w:rPr>
          <w:rFonts w:ascii="Times New Roman" w:hAnsi="Times New Roman"/>
          <w:lang w:val="es-ES"/>
        </w:rPr>
      </w:pPr>
      <w:r w:rsidRPr="005A7F44">
        <w:rPr>
          <w:rFonts w:ascii="Times New Roman" w:hAnsi="Times New Roman"/>
          <w:lang w:val="es-ES"/>
        </w:rPr>
        <w:t xml:space="preserve">Propuesta: </w:t>
      </w:r>
    </w:p>
    <w:p w:rsidR="008014F5" w:rsidP="008014F5" w:rsidRDefault="008014F5" w14:paraId="0FD2E54C" w14:textId="77777777">
      <w:pPr>
        <w:jc w:val="both"/>
        <w:rPr>
          <w:rFonts w:ascii="Times New Roman" w:hAnsi="Times New Roman"/>
          <w:lang w:val="es-ES"/>
        </w:rPr>
      </w:pPr>
    </w:p>
    <w:p w:rsidRPr="005A7F44" w:rsidR="008014F5" w:rsidP="008014F5" w:rsidRDefault="008014F5" w14:paraId="28B3537A" w14:textId="77777777">
      <w:pPr>
        <w:jc w:val="both"/>
        <w:rPr>
          <w:rFonts w:ascii="Times New Roman" w:hAnsi="Times New Roman"/>
          <w:lang w:val="es-ES"/>
        </w:rPr>
      </w:pPr>
      <w:r w:rsidRPr="4375C9A0" w:rsidR="008014F5">
        <w:rPr>
          <w:rFonts w:ascii="Times New Roman" w:hAnsi="Times New Roman"/>
          <w:lang w:val="es-ES"/>
        </w:rPr>
        <w:t>El enorme archivo de cuadernos, manuscritos, correspondencia, fotos y otros materiales que pertenecía a Ricardo Piglia llegó a la</w:t>
      </w:r>
      <w:r w:rsidRPr="4375C9A0" w:rsidR="008014F5">
        <w:rPr>
          <w:rFonts w:ascii="Times New Roman" w:hAnsi="Times New Roman"/>
          <w:i w:val="1"/>
          <w:iCs w:val="1"/>
          <w:lang w:val="es-ES"/>
        </w:rPr>
        <w:t xml:space="preserve"> </w:t>
      </w:r>
      <w:proofErr w:type="spellStart"/>
      <w:r w:rsidRPr="4375C9A0" w:rsidR="008014F5">
        <w:rPr>
          <w:rFonts w:ascii="Times New Roman" w:hAnsi="Times New Roman"/>
          <w:i w:val="1"/>
          <w:iCs w:val="1"/>
          <w:lang w:val="es-ES"/>
        </w:rPr>
        <w:t>Rare</w:t>
      </w:r>
      <w:proofErr w:type="spellEnd"/>
      <w:r w:rsidRPr="4375C9A0" w:rsidR="008014F5">
        <w:rPr>
          <w:rFonts w:ascii="Times New Roman" w:hAnsi="Times New Roman"/>
          <w:i w:val="1"/>
          <w:iCs w:val="1"/>
          <w:lang w:val="es-ES"/>
        </w:rPr>
        <w:t xml:space="preserve"> </w:t>
      </w:r>
      <w:proofErr w:type="spellStart"/>
      <w:r w:rsidRPr="4375C9A0" w:rsidR="008014F5">
        <w:rPr>
          <w:rFonts w:ascii="Times New Roman" w:hAnsi="Times New Roman"/>
          <w:i w:val="1"/>
          <w:iCs w:val="1"/>
          <w:lang w:val="es-ES"/>
        </w:rPr>
        <w:t>Books</w:t>
      </w:r>
      <w:proofErr w:type="spellEnd"/>
      <w:r w:rsidRPr="4375C9A0" w:rsidR="008014F5">
        <w:rPr>
          <w:rFonts w:ascii="Times New Roman" w:hAnsi="Times New Roman"/>
          <w:i w:val="1"/>
          <w:iCs w:val="1"/>
          <w:lang w:val="es-ES"/>
        </w:rPr>
        <w:t xml:space="preserve"> and </w:t>
      </w:r>
      <w:proofErr w:type="spellStart"/>
      <w:r w:rsidRPr="4375C9A0" w:rsidR="008014F5">
        <w:rPr>
          <w:rFonts w:ascii="Times New Roman" w:hAnsi="Times New Roman"/>
          <w:i w:val="1"/>
          <w:iCs w:val="1"/>
          <w:lang w:val="es-ES"/>
        </w:rPr>
        <w:t>Manuscript</w:t>
      </w:r>
      <w:proofErr w:type="spellEnd"/>
      <w:r w:rsidRPr="4375C9A0" w:rsidR="008014F5">
        <w:rPr>
          <w:rFonts w:ascii="Times New Roman" w:hAnsi="Times New Roman"/>
          <w:i w:val="1"/>
          <w:iCs w:val="1"/>
          <w:lang w:val="es-ES"/>
        </w:rPr>
        <w:t xml:space="preserve"> </w:t>
      </w:r>
      <w:proofErr w:type="spellStart"/>
      <w:r w:rsidRPr="4375C9A0" w:rsidR="008014F5">
        <w:rPr>
          <w:rFonts w:ascii="Times New Roman" w:hAnsi="Times New Roman"/>
          <w:i w:val="1"/>
          <w:iCs w:val="1"/>
          <w:lang w:val="es-ES"/>
        </w:rPr>
        <w:t>Collection</w:t>
      </w:r>
      <w:proofErr w:type="spellEnd"/>
      <w:r w:rsidRPr="4375C9A0" w:rsidR="008014F5">
        <w:rPr>
          <w:rFonts w:ascii="Times New Roman" w:hAnsi="Times New Roman"/>
          <w:lang w:val="es-ES"/>
        </w:rPr>
        <w:t xml:space="preserve"> de la biblioteca de Princeton en 2018 y se abrió al público en febrero de 2019. He ido tres veces a trabajar con esos papeles para varios artículos, y he conversado con otros investigadores (y con un par de alumnos míos) que han trabajado con esos archivos también. Esta ponencia explorará la variedad de materiales de ese archivo que tienen que ver con la obra </w:t>
      </w:r>
      <w:proofErr w:type="spellStart"/>
      <w:r w:rsidRPr="4375C9A0" w:rsidR="008014F5">
        <w:rPr>
          <w:rFonts w:ascii="Times New Roman" w:hAnsi="Times New Roman"/>
          <w:lang w:val="es-ES"/>
        </w:rPr>
        <w:t>édita</w:t>
      </w:r>
      <w:proofErr w:type="spellEnd"/>
      <w:r w:rsidRPr="4375C9A0" w:rsidR="008014F5">
        <w:rPr>
          <w:rFonts w:ascii="Times New Roman" w:hAnsi="Times New Roman"/>
          <w:lang w:val="es-ES"/>
        </w:rPr>
        <w:t xml:space="preserve"> e inédita de Piglia, los problemas de catalogación y acceso, y las estrategias que tienen que usar el investigador para poder sacar provecho de la colección. A la vez, hablaré de la importancia de esos materiales, y de la necesidad de trazar estrategias no sólo individuales sino colectivas para que el trabajo de cada investigador no comience de cero. Otro asunto que trataré brevemente es la biblioteca personal de Piglia que llegó hace poco a la biblioteca de la Universidad Nacional de Mar del Plata como donación de familiares de Piglia; el catálogo de esa colección se ha comenzado a organizar, entonces hay una oportunidad de estudiar cómo Piglia escritor se nutre de Piglia lector.</w:t>
      </w:r>
    </w:p>
    <w:p w:rsidR="008014F5" w:rsidRDefault="008014F5" w14:paraId="02963203" w14:textId="77777777">
      <w:pPr>
        <w:rPr>
          <w:lang w:val="es-ES"/>
        </w:rPr>
      </w:pPr>
    </w:p>
    <w:p w:rsidR="008014F5" w:rsidP="008014F5" w:rsidRDefault="008014F5" w14:paraId="57094387" w14:textId="77777777">
      <w:pPr>
        <w:jc w:val="both"/>
        <w:rPr>
          <w:rFonts w:ascii="Times New Roman" w:hAnsi="Times New Roman"/>
          <w:lang w:val="es-ES"/>
        </w:rPr>
      </w:pPr>
    </w:p>
    <w:p w:rsidRPr="005A7F44" w:rsidR="008014F5" w:rsidP="008014F5" w:rsidRDefault="008014F5" w14:paraId="197072DB" w14:textId="77777777">
      <w:pPr>
        <w:pStyle w:val="Titre3"/>
        <w:spacing w:before="0" w:beforeAutospacing="0" w:after="165" w:afterAutospacing="0"/>
        <w:jc w:val="both"/>
        <w:rPr>
          <w:b w:val="0"/>
          <w:sz w:val="24"/>
          <w:szCs w:val="24"/>
          <w:lang w:val="es-ES"/>
        </w:rPr>
      </w:pPr>
      <w:r w:rsidRPr="005A7F44">
        <w:rPr>
          <w:b w:val="0"/>
          <w:sz w:val="24"/>
          <w:szCs w:val="24"/>
          <w:lang w:val="es-ES"/>
        </w:rPr>
        <w:t xml:space="preserve">Eje: </w:t>
      </w:r>
    </w:p>
    <w:p w:rsidRPr="005A7F44" w:rsidR="008014F5" w:rsidP="008014F5" w:rsidRDefault="008014F5" w14:paraId="09F2F9C1" w14:textId="77777777">
      <w:pPr>
        <w:pStyle w:val="Titre3"/>
        <w:spacing w:before="0" w:beforeAutospacing="0" w:after="165" w:afterAutospacing="0"/>
        <w:jc w:val="both"/>
        <w:rPr>
          <w:bCs w:val="0"/>
          <w:sz w:val="24"/>
          <w:szCs w:val="24"/>
          <w:lang w:val="es-ES" w:eastAsia="fr-FR"/>
        </w:rPr>
      </w:pPr>
      <w:r w:rsidRPr="005A7F44">
        <w:rPr>
          <w:sz w:val="24"/>
          <w:szCs w:val="24"/>
          <w:lang w:val="es-ES"/>
        </w:rPr>
        <w:t xml:space="preserve">III. </w:t>
      </w:r>
      <w:r w:rsidRPr="005A7F44">
        <w:rPr>
          <w:bCs w:val="0"/>
          <w:i/>
          <w:sz w:val="24"/>
          <w:szCs w:val="24"/>
          <w:lang w:val="es-ES" w:eastAsia="fr-FR"/>
        </w:rPr>
        <w:t>CORPUS</w:t>
      </w:r>
      <w:r w:rsidRPr="005A7F44">
        <w:rPr>
          <w:bCs w:val="0"/>
          <w:sz w:val="24"/>
          <w:szCs w:val="24"/>
          <w:lang w:val="es-ES" w:eastAsia="fr-FR"/>
        </w:rPr>
        <w:t>, CARTOGRAFÍAS LITERARIAS</w:t>
      </w:r>
    </w:p>
    <w:p w:rsidRPr="005A7F44" w:rsidR="008014F5" w:rsidP="4375C9A0" w:rsidRDefault="008014F5" w14:paraId="49640B73" w14:textId="08B0B376">
      <w:pPr>
        <w:jc w:val="both"/>
        <w:rPr>
          <w:rFonts w:ascii="Times New Roman" w:hAnsi="Times New Roman"/>
          <w:b w:val="1"/>
          <w:bCs w:val="1"/>
          <w:i w:val="1"/>
          <w:iCs w:val="1"/>
          <w:lang w:val="es-ES"/>
        </w:rPr>
      </w:pPr>
      <w:r w:rsidRPr="4375C9A0" w:rsidR="008014F5">
        <w:rPr>
          <w:rFonts w:ascii="Times New Roman" w:hAnsi="Times New Roman"/>
          <w:b w:val="1"/>
          <w:bCs w:val="1"/>
          <w:lang w:val="es-ES"/>
        </w:rPr>
        <w:t xml:space="preserve">MESA REDONDA: </w:t>
      </w:r>
      <w:r w:rsidRPr="4375C9A0" w:rsidR="008014F5">
        <w:rPr>
          <w:rFonts w:ascii="Times New Roman" w:hAnsi="Times New Roman"/>
          <w:b w:val="1"/>
          <w:bCs w:val="1"/>
          <w:i w:val="1"/>
          <w:iCs w:val="1"/>
          <w:lang w:val="es-ES"/>
        </w:rPr>
        <w:t xml:space="preserve">Trabajos con materiales de archivo del Cono Sur: Bombal, Donoso, </w:t>
      </w:r>
      <w:proofErr w:type="spellStart"/>
      <w:r w:rsidRPr="4375C9A0" w:rsidR="008014F5">
        <w:rPr>
          <w:rFonts w:ascii="Times New Roman" w:hAnsi="Times New Roman"/>
          <w:b w:val="1"/>
          <w:bCs w:val="1"/>
          <w:i w:val="1"/>
          <w:iCs w:val="1"/>
          <w:lang w:val="es-ES"/>
        </w:rPr>
        <w:t>Wacquez</w:t>
      </w:r>
      <w:proofErr w:type="spellEnd"/>
      <w:r w:rsidRPr="4375C9A0" w:rsidR="008014F5">
        <w:rPr>
          <w:rFonts w:ascii="Times New Roman" w:hAnsi="Times New Roman"/>
          <w:b w:val="1"/>
          <w:bCs w:val="1"/>
          <w:i w:val="1"/>
          <w:iCs w:val="1"/>
          <w:lang w:val="es-ES"/>
        </w:rPr>
        <w:t xml:space="preserve"> y Borges</w:t>
      </w:r>
    </w:p>
    <w:p w:rsidRPr="008014F5" w:rsidR="008014F5" w:rsidRDefault="008014F5" w14:paraId="1E18064F" w14:textId="77777777">
      <w:pPr>
        <w:rPr>
          <w:lang w:val="es-ES"/>
        </w:rPr>
      </w:pPr>
    </w:p>
    <w:sectPr w:rsidRPr="008014F5" w:rsidR="008014F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4F5"/>
    <w:rsid w:val="008014F5"/>
    <w:rsid w:val="4375C9A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F41C"/>
  <w15:chartTrackingRefBased/>
  <w15:docId w15:val="{69E02D99-A812-4B3D-A2A2-1F4130B8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014F5"/>
    <w:pPr>
      <w:spacing w:after="0" w:line="240" w:lineRule="auto"/>
    </w:pPr>
    <w:rPr>
      <w:rFonts w:ascii="Cambria" w:hAnsi="Cambria" w:eastAsia="MS Mincho" w:cs="Times New Roman"/>
      <w:sz w:val="24"/>
      <w:szCs w:val="24"/>
      <w:lang w:val="fr-FR" w:eastAsia="fr-FR"/>
    </w:rPr>
  </w:style>
  <w:style w:type="paragraph" w:styleId="Titre3">
    <w:name w:val="heading 3"/>
    <w:basedOn w:val="Normal"/>
    <w:link w:val="Titre3Car"/>
    <w:uiPriority w:val="9"/>
    <w:qFormat/>
    <w:rsid w:val="008014F5"/>
    <w:pPr>
      <w:spacing w:before="100" w:beforeAutospacing="1" w:after="100" w:afterAutospacing="1"/>
      <w:outlineLvl w:val="2"/>
    </w:pPr>
    <w:rPr>
      <w:rFonts w:ascii="Times New Roman" w:hAnsi="Times New Roman"/>
      <w:b/>
      <w:bCs/>
      <w:sz w:val="27"/>
      <w:szCs w:val="27"/>
      <w:lang w:val="en-US" w:eastAsia="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3Car" w:customStyle="1">
    <w:name w:val="Titre 3 Car"/>
    <w:basedOn w:val="Policepardfaut"/>
    <w:link w:val="Titre3"/>
    <w:uiPriority w:val="9"/>
    <w:rsid w:val="008014F5"/>
    <w:rPr>
      <w:rFonts w:ascii="Times New Roman" w:hAnsi="Times New Roman" w:eastAsia="MS Mincho"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BE42D8-3D25-4375-82B5-C10F0E0C59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B84DE-B6FE-4AA2-8D0A-9F08C54C3103}">
  <ds:schemaRefs>
    <ds:schemaRef ds:uri="http://schemas.microsoft.com/sharepoint/v3/contenttype/forms"/>
  </ds:schemaRefs>
</ds:datastoreItem>
</file>

<file path=customXml/itemProps3.xml><?xml version="1.0" encoding="utf-8"?>
<ds:datastoreItem xmlns:ds="http://schemas.openxmlformats.org/officeDocument/2006/customXml" ds:itemID="{27A0F8F1-DE94-4F8C-B05F-A01526FE503A}">
  <ds:schemaRef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2021-05-26T22:39:00.0000000Z</dcterms:created>
  <dcterms:modified xsi:type="dcterms:W3CDTF">2021-06-02T09:27:54.7985674Z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