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184587" w:rsidP="00184587" w:rsidRDefault="00184587" w14:paraId="5B1D6CF9"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184587" w:rsidP="00184587" w:rsidRDefault="00184587" w14:paraId="12EA677F"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184587" w:rsidP="00184587" w:rsidRDefault="00184587" w14:paraId="45914136"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184587" w:rsidP="00184587" w:rsidRDefault="00184587" w14:paraId="707F98CB"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813662" w:rsidR="00184587" w:rsidP="00184587" w:rsidRDefault="00184587" w14:paraId="6A159E54" w14:textId="77777777">
      <w:pPr>
        <w:rPr>
          <w:rFonts w:ascii="Times New Roman" w:hAnsi="Times New Roman"/>
          <w:sz w:val="22"/>
          <w:szCs w:val="22"/>
          <w:lang w:val="es-ES_tradnl"/>
        </w:rPr>
      </w:pPr>
    </w:p>
    <w:p w:rsidRPr="00B24261" w:rsidR="00184587" w:rsidP="00184587" w:rsidRDefault="00184587" w14:paraId="5A67DCA6" w14:textId="77777777">
      <w:pPr>
        <w:pStyle w:val="StyleNormal"/>
        <w:spacing w:line="240" w:lineRule="auto"/>
        <w:jc w:val="both"/>
        <w:rPr>
          <w:rFonts w:eastAsia="Times New Roman"/>
          <w:b/>
          <w:color w:val="000000"/>
          <w:lang w:val="es-ES"/>
        </w:rPr>
      </w:pPr>
      <w:r w:rsidRPr="00B24261">
        <w:rPr>
          <w:rFonts w:eastAsia="Times New Roman"/>
          <w:b/>
          <w:color w:val="000000"/>
          <w:lang w:val="es-ES"/>
        </w:rPr>
        <w:t xml:space="preserve">Charles H. GEYER </w:t>
      </w:r>
    </w:p>
    <w:p w:rsidRPr="00B24261" w:rsidR="00184587" w:rsidP="00184587" w:rsidRDefault="00184587" w14:paraId="5D88A7DE" w14:textId="77777777">
      <w:pPr>
        <w:pStyle w:val="StyleNormal"/>
        <w:spacing w:line="240" w:lineRule="auto"/>
        <w:jc w:val="both"/>
        <w:rPr>
          <w:rFonts w:eastAsia="Times New Roman"/>
          <w:color w:val="000000"/>
          <w:lang w:val="es-ES"/>
        </w:rPr>
      </w:pPr>
    </w:p>
    <w:p w:rsidRPr="00B24261" w:rsidR="00184587" w:rsidP="00184587" w:rsidRDefault="00184587" w14:paraId="5E9CC823" w14:textId="77777777">
      <w:pPr>
        <w:pStyle w:val="StyleNormal"/>
        <w:spacing w:line="240" w:lineRule="auto"/>
        <w:jc w:val="both"/>
        <w:rPr>
          <w:lang w:val="es-ES"/>
        </w:rPr>
      </w:pPr>
      <w:r w:rsidRPr="00B24261">
        <w:rPr>
          <w:rFonts w:eastAsia="Times New Roman"/>
          <w:color w:val="000000"/>
          <w:lang w:val="es-ES"/>
        </w:rPr>
        <w:t xml:space="preserve">Vanderbilt </w:t>
      </w:r>
      <w:proofErr w:type="spellStart"/>
      <w:r w:rsidRPr="00B24261">
        <w:rPr>
          <w:rFonts w:eastAsia="Times New Roman"/>
          <w:color w:val="000000"/>
          <w:lang w:val="es-ES"/>
        </w:rPr>
        <w:t>University</w:t>
      </w:r>
      <w:proofErr w:type="spellEnd"/>
    </w:p>
    <w:p w:rsidRPr="00B24261" w:rsidR="00184587" w:rsidP="00184587" w:rsidRDefault="00184587" w14:paraId="3FB6D469" w14:textId="77777777">
      <w:pPr>
        <w:jc w:val="both"/>
        <w:rPr>
          <w:rFonts w:ascii="Times New Roman" w:hAnsi="Times New Roman"/>
          <w:lang w:val="uz-Cyrl-UZ"/>
        </w:rPr>
      </w:pPr>
    </w:p>
    <w:p w:rsidRPr="00B24261" w:rsidR="00184587" w:rsidP="00184587" w:rsidRDefault="00184587" w14:paraId="63FF96FC" w14:textId="77777777">
      <w:pPr>
        <w:pStyle w:val="StyleNormal"/>
        <w:spacing w:line="240" w:lineRule="auto"/>
        <w:jc w:val="both"/>
        <w:rPr>
          <w:b/>
          <w:bCs/>
          <w:lang w:val="es-ES_tradnl"/>
        </w:rPr>
      </w:pPr>
      <w:r w:rsidRPr="00B24261">
        <w:rPr>
          <w:lang w:val="es-ES"/>
        </w:rPr>
        <w:t xml:space="preserve">Título: </w:t>
      </w:r>
      <w:r w:rsidRPr="00B24261">
        <w:rPr>
          <w:b/>
          <w:bCs/>
          <w:lang w:val="es-ES_tradnl"/>
        </w:rPr>
        <w:t>“Ruinas utópicas: la poesía de Pedro Juan Gutiérrez”</w:t>
      </w:r>
    </w:p>
    <w:p w:rsidRPr="00B24261" w:rsidR="00184587" w:rsidP="00184587" w:rsidRDefault="00184587" w14:paraId="5F502F64" w14:textId="77777777">
      <w:pPr>
        <w:pStyle w:val="StyleNormal"/>
        <w:spacing w:line="240" w:lineRule="auto"/>
        <w:jc w:val="both"/>
        <w:rPr>
          <w:lang w:val="es-ES_tradnl"/>
        </w:rPr>
      </w:pPr>
    </w:p>
    <w:p w:rsidR="00184587" w:rsidP="00184587" w:rsidRDefault="00184587" w14:paraId="2236F41C" w14:textId="77777777">
      <w:pPr>
        <w:pStyle w:val="StyleNormal"/>
        <w:spacing w:line="240" w:lineRule="auto"/>
        <w:jc w:val="both"/>
        <w:rPr>
          <w:lang w:val="es-ES_tradnl"/>
        </w:rPr>
      </w:pPr>
      <w:r w:rsidRPr="00B24261">
        <w:rPr>
          <w:lang w:val="es-ES_tradnl"/>
        </w:rPr>
        <w:t xml:space="preserve">Propuesta: </w:t>
      </w:r>
    </w:p>
    <w:p w:rsidRPr="00B24261" w:rsidR="00184587" w:rsidP="00184587" w:rsidRDefault="00184587" w14:paraId="313F956A" w14:textId="77777777">
      <w:pPr>
        <w:pStyle w:val="StyleNormal"/>
        <w:spacing w:line="240" w:lineRule="auto"/>
        <w:jc w:val="both"/>
        <w:rPr>
          <w:lang w:val="es-ES_tradnl"/>
        </w:rPr>
      </w:pPr>
    </w:p>
    <w:p w:rsidR="00184587" w:rsidP="00184587" w:rsidRDefault="00184587" w14:paraId="6F53C2AB" w14:textId="77777777">
      <w:pPr>
        <w:pStyle w:val="StyleNormal"/>
        <w:spacing w:line="240" w:lineRule="auto"/>
        <w:jc w:val="both"/>
        <w:rPr>
          <w:b/>
          <w:lang w:val="es-ES"/>
        </w:rPr>
      </w:pPr>
      <w:r w:rsidRPr="00B24261">
        <w:rPr>
          <w:lang w:val="es-ES_tradnl"/>
        </w:rPr>
        <w:t xml:space="preserve">En esta ponencia, se examinará la manera en que la figura de la ruina adquiere una función alegórica en la poesía de Pedro Juan Gutiérrez, y cómo ese simbolismo alegórico se abre a imaginarios utópicos para la sociedad cubana durante los peores momentos del Período Especial (1990-2005). Según Walter </w:t>
      </w:r>
      <w:proofErr w:type="spellStart"/>
      <w:r w:rsidRPr="00B24261">
        <w:rPr>
          <w:lang w:val="es-ES_tradnl"/>
        </w:rPr>
        <w:t>Benjamin</w:t>
      </w:r>
      <w:proofErr w:type="spellEnd"/>
      <w:r w:rsidRPr="00B24261">
        <w:rPr>
          <w:lang w:val="es-ES_tradnl"/>
        </w:rPr>
        <w:t xml:space="preserve">, la ruina funciona alegóricamente en el sentido de que revela la materialidad de la existencia humana y la brecha que existe entre el cuerpo material y la esencia espiritual de la naturaleza y de Dios. Sin embargo, </w:t>
      </w:r>
      <w:proofErr w:type="spellStart"/>
      <w:r w:rsidRPr="00B24261">
        <w:rPr>
          <w:lang w:val="es-ES_tradnl"/>
        </w:rPr>
        <w:t>Benjamin</w:t>
      </w:r>
      <w:proofErr w:type="spellEnd"/>
      <w:r w:rsidRPr="00B24261">
        <w:rPr>
          <w:lang w:val="es-ES_tradnl"/>
        </w:rPr>
        <w:t xml:space="preserve"> también sugiere que esa brecha se supera en la muerte, lo cual le confiere a la ruina un aspecto salvífico ya que representa el camino a través del cual se realiza la unión espiritual con Dios. En la poesía de Gutiérrez, examino la manera en que el deseo utópico llena el espacio dejado por la ausencia de Dios en el siglo veinte y cómo la salvación utópica reemplaza la salvación religiosa en el contexto cubano de la crisis del Período Especial. Concluyo que la ruina en los poemas estudiados se convierte en una vía de escape del ciclo histórico de catástrofes repetidas (lo que </w:t>
      </w:r>
      <w:proofErr w:type="spellStart"/>
      <w:r w:rsidRPr="00B24261">
        <w:rPr>
          <w:lang w:val="es-ES_tradnl"/>
        </w:rPr>
        <w:t>Benjamin</w:t>
      </w:r>
      <w:proofErr w:type="spellEnd"/>
      <w:r w:rsidRPr="00B24261">
        <w:rPr>
          <w:lang w:val="es-ES_tradnl"/>
        </w:rPr>
        <w:t xml:space="preserve"> llama el retorno recurrente de lo mismo) que conduce a la posibilidad salvífica de la utopía.</w:t>
      </w:r>
      <w:r w:rsidRPr="00B24261">
        <w:rPr>
          <w:b/>
          <w:lang w:val="es-ES"/>
        </w:rPr>
        <w:t xml:space="preserve"> </w:t>
      </w:r>
    </w:p>
    <w:p w:rsidR="00184587" w:rsidP="00184587" w:rsidRDefault="00184587" w14:paraId="7B601F0A" w14:textId="77777777">
      <w:pPr>
        <w:pStyle w:val="StyleNormal"/>
        <w:spacing w:line="240" w:lineRule="auto"/>
        <w:jc w:val="both"/>
        <w:rPr>
          <w:b/>
          <w:lang w:val="es-ES"/>
        </w:rPr>
      </w:pPr>
    </w:p>
    <w:p w:rsidRPr="00B24261" w:rsidR="00184587" w:rsidP="00184587" w:rsidRDefault="00184587" w14:paraId="3193CBD4" w14:textId="77777777">
      <w:pPr>
        <w:pStyle w:val="StyleNormal"/>
        <w:jc w:val="both"/>
        <w:rPr>
          <w:rFonts w:eastAsia="Times New Roman"/>
          <w:lang w:val="es-ES"/>
        </w:rPr>
      </w:pPr>
    </w:p>
    <w:p w:rsidR="00184587" w:rsidP="00184587" w:rsidRDefault="00184587" w14:paraId="0DFF4DF9" w14:textId="77777777">
      <w:pPr>
        <w:pStyle w:val="Textebrut"/>
        <w:jc w:val="both"/>
        <w:rPr>
          <w:rFonts w:ascii="Times New Roman" w:hAnsi="Times New Roman"/>
          <w:sz w:val="24"/>
          <w:szCs w:val="24"/>
          <w:lang w:val="es-ES"/>
        </w:rPr>
      </w:pPr>
      <w:bookmarkStart w:name="_GoBack" w:id="0"/>
      <w:r w:rsidRPr="00B24261">
        <w:rPr>
          <w:rFonts w:ascii="Times New Roman" w:hAnsi="Times New Roman"/>
          <w:sz w:val="24"/>
          <w:szCs w:val="24"/>
          <w:lang w:val="es-ES"/>
        </w:rPr>
        <w:t xml:space="preserve">Ejes: </w:t>
      </w:r>
    </w:p>
    <w:p w:rsidRPr="00B24261" w:rsidR="00184587" w:rsidP="00184587" w:rsidRDefault="00184587" w14:paraId="165F07A6" w14:textId="77777777">
      <w:pPr>
        <w:pStyle w:val="Textebrut"/>
        <w:jc w:val="both"/>
        <w:rPr>
          <w:rFonts w:ascii="Times New Roman" w:hAnsi="Times New Roman"/>
          <w:sz w:val="24"/>
          <w:szCs w:val="24"/>
          <w:lang w:val="es-ES"/>
        </w:rPr>
      </w:pPr>
    </w:p>
    <w:p w:rsidRPr="00B24261" w:rsidR="00184587" w:rsidP="00184587" w:rsidRDefault="00184587" w14:paraId="56B53C00" w14:textId="77777777">
      <w:pPr>
        <w:pStyle w:val="Textebrut"/>
        <w:jc w:val="both"/>
        <w:rPr>
          <w:rFonts w:ascii="Times New Roman" w:hAnsi="Times New Roman"/>
          <w:b/>
          <w:sz w:val="24"/>
          <w:szCs w:val="24"/>
        </w:rPr>
      </w:pPr>
      <w:r w:rsidRPr="00B24261">
        <w:rPr>
          <w:rFonts w:ascii="Times New Roman" w:hAnsi="Times New Roman"/>
          <w:b/>
          <w:sz w:val="24"/>
          <w:szCs w:val="24"/>
        </w:rPr>
        <w:t>I) CUERPOS, ESCRITURAS CRÍTICAS</w:t>
      </w:r>
    </w:p>
    <w:p w:rsidRPr="00B24261" w:rsidR="00184587" w:rsidP="00184587" w:rsidRDefault="00184587" w14:paraId="01CBBDE5" w14:textId="77777777">
      <w:pPr>
        <w:pStyle w:val="Textebrut"/>
        <w:jc w:val="both"/>
        <w:rPr>
          <w:rFonts w:ascii="Times New Roman" w:hAnsi="Times New Roman"/>
          <w:sz w:val="24"/>
          <w:szCs w:val="24"/>
        </w:rPr>
      </w:pPr>
      <w:r w:rsidRPr="00B24261">
        <w:rPr>
          <w:rFonts w:ascii="Times New Roman" w:hAnsi="Times New Roman"/>
          <w:sz w:val="24"/>
          <w:szCs w:val="24"/>
        </w:rPr>
        <w:t>Cuerpos vulnerables / Cuerpos indómitos / Cuerpos festivos / Cuerpos virtuosos</w:t>
      </w:r>
    </w:p>
    <w:p w:rsidRPr="00B24261" w:rsidR="00184587" w:rsidP="00184587" w:rsidRDefault="00184587" w14:paraId="0040B145" w14:textId="77777777">
      <w:pPr>
        <w:pStyle w:val="Textebrut"/>
        <w:jc w:val="both"/>
        <w:rPr>
          <w:rFonts w:ascii="Times New Roman" w:hAnsi="Times New Roman"/>
          <w:sz w:val="24"/>
          <w:szCs w:val="24"/>
        </w:rPr>
      </w:pPr>
    </w:p>
    <w:p w:rsidRPr="00B24261" w:rsidR="00184587" w:rsidP="00184587" w:rsidRDefault="00184587" w14:paraId="4CDD4496" w14:textId="77777777">
      <w:pPr>
        <w:pStyle w:val="Textebrut"/>
        <w:jc w:val="both"/>
        <w:rPr>
          <w:rFonts w:ascii="Times New Roman" w:hAnsi="Times New Roman"/>
          <w:b/>
          <w:sz w:val="24"/>
          <w:szCs w:val="24"/>
        </w:rPr>
      </w:pPr>
      <w:r w:rsidRPr="00B24261">
        <w:rPr>
          <w:rFonts w:ascii="Times New Roman" w:hAnsi="Times New Roman"/>
          <w:b/>
          <w:sz w:val="24"/>
          <w:szCs w:val="24"/>
        </w:rPr>
        <w:t>II) TRAMAS POLÍTICAS</w:t>
      </w:r>
    </w:p>
    <w:p w:rsidRPr="00B24261" w:rsidR="00184587" w:rsidP="00184587" w:rsidRDefault="00184587" w14:paraId="5F9D18E2" w14:textId="77777777">
      <w:pPr>
        <w:pStyle w:val="Textebrut"/>
        <w:jc w:val="both"/>
        <w:rPr>
          <w:rFonts w:ascii="Times New Roman" w:hAnsi="Times New Roman"/>
          <w:sz w:val="24"/>
          <w:szCs w:val="24"/>
        </w:rPr>
      </w:pPr>
      <w:r w:rsidRPr="00B24261">
        <w:rPr>
          <w:rFonts w:ascii="Times New Roman" w:hAnsi="Times New Roman"/>
          <w:sz w:val="24"/>
          <w:szCs w:val="24"/>
        </w:rPr>
        <w:t>Prácticas corporales, concepciones de mundo</w:t>
      </w:r>
    </w:p>
    <w:p w:rsidRPr="00B24261" w:rsidR="00184587" w:rsidP="00184587" w:rsidRDefault="00184587" w14:paraId="28D08359" w14:textId="77777777">
      <w:pPr>
        <w:pStyle w:val="Textebrut"/>
        <w:jc w:val="both"/>
        <w:rPr>
          <w:rFonts w:ascii="Times New Roman" w:hAnsi="Times New Roman"/>
          <w:sz w:val="24"/>
          <w:szCs w:val="24"/>
        </w:rPr>
      </w:pPr>
      <w:r w:rsidRPr="00B24261">
        <w:rPr>
          <w:rFonts w:ascii="Times New Roman" w:hAnsi="Times New Roman"/>
          <w:sz w:val="24"/>
          <w:szCs w:val="24"/>
        </w:rPr>
        <w:t>Violencia directa, estructural, cultural</w:t>
      </w:r>
    </w:p>
    <w:p w:rsidRPr="00B24261" w:rsidR="00184587" w:rsidP="00184587" w:rsidRDefault="00184587" w14:paraId="624BC0BA" w14:textId="77777777">
      <w:pPr>
        <w:pStyle w:val="Textebrut"/>
        <w:jc w:val="both"/>
        <w:rPr>
          <w:rFonts w:ascii="Times New Roman" w:hAnsi="Times New Roman"/>
          <w:sz w:val="24"/>
          <w:szCs w:val="24"/>
        </w:rPr>
      </w:pPr>
      <w:r w:rsidRPr="00B24261">
        <w:rPr>
          <w:rFonts w:ascii="Times New Roman" w:hAnsi="Times New Roman"/>
          <w:sz w:val="24"/>
          <w:szCs w:val="24"/>
        </w:rPr>
        <w:t>Resistencias silenciosas del no (lo innombrable, lo no-dicho, lo indecible, lo dicho a medias)</w:t>
      </w:r>
    </w:p>
    <w:p w:rsidRPr="00B24261" w:rsidR="00184587" w:rsidP="00184587" w:rsidRDefault="00184587" w14:paraId="0F2D7FC8" w14:textId="77777777">
      <w:pPr>
        <w:pStyle w:val="Textebrut"/>
        <w:jc w:val="both"/>
        <w:rPr>
          <w:rFonts w:ascii="Times New Roman" w:hAnsi="Times New Roman"/>
          <w:sz w:val="24"/>
          <w:szCs w:val="24"/>
        </w:rPr>
      </w:pPr>
      <w:r w:rsidRPr="00B24261">
        <w:rPr>
          <w:rFonts w:ascii="Times New Roman" w:hAnsi="Times New Roman"/>
          <w:sz w:val="24"/>
          <w:szCs w:val="24"/>
        </w:rPr>
        <w:t>Dispositivos de sometimiento, emergentes estéticos, rompimiento de mandatos éticos</w:t>
      </w:r>
    </w:p>
    <w:p w:rsidR="00184587" w:rsidP="00184587" w:rsidRDefault="00184587" w14:paraId="5F8BD7D2" w14:textId="77777777">
      <w:pPr>
        <w:pStyle w:val="Textebrut"/>
        <w:jc w:val="both"/>
        <w:rPr>
          <w:rFonts w:ascii="Times New Roman" w:hAnsi="Times New Roman"/>
          <w:sz w:val="24"/>
          <w:szCs w:val="24"/>
        </w:rPr>
      </w:pPr>
      <w:r w:rsidRPr="00B24261">
        <w:rPr>
          <w:rFonts w:ascii="Times New Roman" w:hAnsi="Times New Roman"/>
          <w:sz w:val="24"/>
          <w:szCs w:val="24"/>
        </w:rPr>
        <w:t>Corporeidad e imaginarios de la carne</w:t>
      </w:r>
    </w:p>
    <w:p w:rsidR="00184587" w:rsidP="00184587" w:rsidRDefault="00184587" w14:paraId="12E38E06" w14:textId="77777777">
      <w:pPr>
        <w:pStyle w:val="Textebrut"/>
        <w:jc w:val="both"/>
        <w:rPr>
          <w:rFonts w:ascii="Times New Roman" w:hAnsi="Times New Roman"/>
          <w:sz w:val="24"/>
          <w:szCs w:val="24"/>
          <w:lang w:val="uz-Cyrl-UZ"/>
        </w:rPr>
      </w:pPr>
    </w:p>
    <w:p w:rsidRPr="00B24261" w:rsidR="00184587" w:rsidP="236E6D28" w:rsidRDefault="00184587" w14:paraId="3ECC43E3" w14:textId="2CE6EED0">
      <w:pPr>
        <w:spacing w:line="240" w:lineRule="exact"/>
        <w:jc w:val="both"/>
        <w:rPr>
          <w:rFonts w:ascii="Times New Roman" w:hAnsi="Times New Roman" w:eastAsia="Calibri"/>
          <w:b w:val="1"/>
          <w:bCs w:val="1"/>
          <w:smallCaps w:val="1"/>
          <w:lang w:val="uz-Cyrl-UZ"/>
        </w:rPr>
      </w:pPr>
      <w:r w:rsidRPr="236E6D28" w:rsidR="00184587">
        <w:rPr>
          <w:rFonts w:ascii="Times New Roman" w:hAnsi="Times New Roman"/>
          <w:b w:val="1"/>
          <w:bCs w:val="1"/>
          <w:lang w:val="es-ES"/>
        </w:rPr>
        <w:t xml:space="preserve">MESA REDONDA: </w:t>
      </w:r>
      <w:r w:rsidRPr="236E6D28" w:rsidR="00184587">
        <w:rPr>
          <w:rFonts w:ascii="Times New Roman" w:hAnsi="Times New Roman"/>
          <w:b w:val="1"/>
          <w:bCs w:val="1"/>
          <w:i w:val="1"/>
          <w:iCs w:val="1"/>
          <w:lang w:val="es-ES"/>
        </w:rPr>
        <w:t xml:space="preserve">Poesía hispanoamericana contemporánea y tradiciones religiosas </w:t>
      </w:r>
    </w:p>
    <w:p w:rsidRPr="00B24261" w:rsidR="00184587" w:rsidP="236E6D28" w:rsidRDefault="00184587" w14:paraId="3D552EC9" w14:textId="22B8081B">
      <w:pPr>
        <w:pStyle w:val="StyleNormal"/>
        <w:jc w:val="both"/>
        <w:rPr>
          <w:b w:val="1"/>
          <w:bCs w:val="1"/>
          <w:smallCaps w:val="1"/>
          <w:lang w:val="uz-Cyrl-UZ"/>
        </w:rPr>
      </w:pPr>
      <w:r w:rsidRPr="236E6D28" w:rsidR="00184587">
        <w:rPr>
          <w:b w:val="1"/>
          <w:bCs w:val="1"/>
          <w:lang w:val="uz-Cyrl-UZ"/>
        </w:rPr>
        <w:t xml:space="preserve">MESA </w:t>
      </w:r>
      <w:r w:rsidRPr="236E6D28" w:rsidR="049F1915">
        <w:rPr>
          <w:b w:val="1"/>
          <w:bCs w:val="1"/>
          <w:lang w:val="uz-Cyrl-UZ"/>
        </w:rPr>
        <w:t>A</w:t>
      </w:r>
      <w:r w:rsidRPr="236E6D28" w:rsidR="00184587">
        <w:rPr>
          <w:b w:val="1"/>
          <w:bCs w:val="1"/>
          <w:lang w:val="es-ES"/>
        </w:rPr>
        <w:t>:</w:t>
      </w:r>
      <w:r w:rsidRPr="236E6D28" w:rsidR="00184587">
        <w:rPr>
          <w:b w:val="1"/>
          <w:bCs w:val="1"/>
          <w:smallCaps w:val="1"/>
          <w:lang w:val="uz-Cyrl-UZ"/>
        </w:rPr>
        <w:t xml:space="preserve"> tradiciones judías y cristianas en la poesía chilena y cubana</w:t>
      </w:r>
      <w:bookmarkEnd w:id="0"/>
    </w:p>
    <w:p w:rsidRPr="00B24261" w:rsidR="00184587" w:rsidP="00184587" w:rsidRDefault="00184587" w14:paraId="07F0AE43" w14:textId="77777777">
      <w:pPr>
        <w:pStyle w:val="Textebrut"/>
        <w:jc w:val="both"/>
        <w:rPr>
          <w:rFonts w:ascii="Times New Roman" w:hAnsi="Times New Roman"/>
          <w:sz w:val="24"/>
          <w:szCs w:val="24"/>
          <w:lang w:val="uz-Cyrl-UZ"/>
        </w:rPr>
      </w:pPr>
    </w:p>
    <w:p w:rsidRPr="00184587" w:rsidR="00184587" w:rsidP="00184587" w:rsidRDefault="00184587" w14:paraId="375A00A1" w14:textId="77777777">
      <w:pPr>
        <w:pStyle w:val="StyleNormal"/>
        <w:spacing w:line="240" w:lineRule="auto"/>
        <w:jc w:val="both"/>
        <w:rPr>
          <w:b/>
          <w:lang w:val="uz-Cyrl-UZ"/>
        </w:rPr>
      </w:pPr>
    </w:p>
    <w:p w:rsidRPr="00184587" w:rsidR="00184587" w:rsidP="00184587" w:rsidRDefault="00184587" w14:paraId="12D6F47C" w14:textId="77777777">
      <w:pPr>
        <w:rPr>
          <w:lang w:val="es-ES"/>
        </w:rPr>
      </w:pPr>
      <w:r w:rsidRPr="00B24261">
        <w:rPr>
          <w:rFonts w:ascii="Times New Roman" w:hAnsi="Times New Roman"/>
          <w:b/>
          <w:lang w:val="es-ES"/>
        </w:rPr>
        <w:br w:type="page"/>
      </w:r>
    </w:p>
    <w:sectPr w:rsidRPr="00184587" w:rsidR="00184587">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587"/>
    <w:rsid w:val="00184587"/>
    <w:rsid w:val="049F1915"/>
    <w:rsid w:val="236E6D2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5A4DA"/>
  <w15:chartTrackingRefBased/>
  <w15:docId w15:val="{088B3FA7-48BE-468D-96FA-4AA8F05C9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184587"/>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StyleNormal" w:customStyle="1">
    <w:name w:val="Style Normal"/>
    <w:basedOn w:val="Normal"/>
    <w:qFormat/>
    <w:rsid w:val="00184587"/>
    <w:pPr>
      <w:spacing w:line="276" w:lineRule="auto"/>
    </w:pPr>
    <w:rPr>
      <w:rFonts w:ascii="Times New Roman" w:hAnsi="Times New Roman" w:eastAsia="Calibri"/>
      <w:lang w:eastAsia="en-US"/>
    </w:rPr>
  </w:style>
  <w:style w:type="paragraph" w:styleId="Textebrut">
    <w:name w:val="Plain Text"/>
    <w:basedOn w:val="Normal"/>
    <w:link w:val="TextebrutCar"/>
    <w:uiPriority w:val="99"/>
    <w:unhideWhenUsed/>
    <w:rsid w:val="00184587"/>
    <w:rPr>
      <w:rFonts w:ascii="Calibri" w:hAnsi="Calibri" w:eastAsia="Calibri"/>
      <w:sz w:val="22"/>
      <w:szCs w:val="21"/>
      <w:lang w:val="es-419" w:eastAsia="en-US"/>
    </w:rPr>
  </w:style>
  <w:style w:type="character" w:styleId="TextebrutCar" w:customStyle="1">
    <w:name w:val="Texte brut Car"/>
    <w:basedOn w:val="Policepardfaut"/>
    <w:link w:val="Textebrut"/>
    <w:uiPriority w:val="99"/>
    <w:rsid w:val="00184587"/>
    <w:rPr>
      <w:rFonts w:ascii="Calibri" w:hAnsi="Calibri" w:eastAsia="Calibri" w:cs="Times New Roman"/>
      <w:szCs w:val="21"/>
      <w:lang w:val="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9E886B-47C3-4A51-9A50-F5A243DACE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39B701-0E03-4E91-92B7-0D33577577D5}">
  <ds:schemaRefs>
    <ds:schemaRef ds:uri="http://schemas.microsoft.com/sharepoint/v3/contenttype/forms"/>
  </ds:schemaRefs>
</ds:datastoreItem>
</file>

<file path=customXml/itemProps3.xml><?xml version="1.0" encoding="utf-8"?>
<ds:datastoreItem xmlns:ds="http://schemas.openxmlformats.org/officeDocument/2006/customXml" ds:itemID="{45CE7DC8-2856-4BF4-A320-B27DB7B63830}">
  <ds:schemaRef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2021-05-29T09:11:00.0000000Z</dcterms:created>
  <dcterms:modified xsi:type="dcterms:W3CDTF">2021-06-02T12:37:43.4482768Z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