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6E05" w:rsidP="00126E05" w:rsidRDefault="00126E05" w14:paraId="1CA1507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126E05" w:rsidP="00126E05" w:rsidRDefault="00126E05" w14:paraId="7397BF3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szCs w:val="24"/>
          <w:lang w:val="es-ES"/>
        </w:rPr>
      </w:pPr>
      <w:r>
        <w:rPr>
          <w:rFonts w:ascii="Times New Roman" w:hAnsi="Times New Roman"/>
          <w:b/>
          <w:caps/>
          <w:lang w:val="es-ES"/>
        </w:rPr>
        <w:t xml:space="preserve">IILI 2021 - XLIII Congreso Internacional </w:t>
      </w:r>
    </w:p>
    <w:p w:rsidR="00126E05" w:rsidP="00126E05" w:rsidRDefault="00126E05" w14:paraId="1F8E80DC"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126E05" w:rsidP="00126E05" w:rsidRDefault="00126E05" w14:paraId="38F24B78"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Pr="00126E05" w:rsidR="00126E05" w:rsidP="00126E05" w:rsidRDefault="00126E05" w14:paraId="4246026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Pr="00C6619E" w:rsidR="00126E05" w:rsidP="00126E05" w:rsidRDefault="00126E05" w14:paraId="12D5F72B" w14:textId="77777777">
      <w:pPr>
        <w:spacing w:before="100" w:beforeAutospacing="1" w:after="120" w:line="276" w:lineRule="auto"/>
        <w:jc w:val="both"/>
        <w:rPr>
          <w:rFonts w:ascii="Times New Roman" w:hAnsi="Times New Roman"/>
          <w:b/>
          <w:szCs w:val="24"/>
          <w:lang w:val="es-ES"/>
        </w:rPr>
      </w:pPr>
      <w:r w:rsidRPr="00C6619E">
        <w:rPr>
          <w:rFonts w:ascii="Times New Roman" w:hAnsi="Times New Roman"/>
          <w:b/>
          <w:szCs w:val="24"/>
          <w:lang w:val="es-ES"/>
        </w:rPr>
        <w:t>Lucero de VIVANCO</w:t>
      </w:r>
    </w:p>
    <w:p w:rsidRPr="00C6619E" w:rsidR="00126E05" w:rsidP="00126E05" w:rsidRDefault="00126E05" w14:paraId="3577DB61" w14:textId="77777777">
      <w:pPr>
        <w:spacing w:before="100" w:beforeAutospacing="1" w:after="120" w:line="276" w:lineRule="auto"/>
        <w:jc w:val="both"/>
        <w:rPr>
          <w:rFonts w:ascii="Times New Roman" w:hAnsi="Times New Roman"/>
          <w:szCs w:val="24"/>
          <w:lang w:val="es-ES"/>
        </w:rPr>
      </w:pPr>
      <w:r w:rsidRPr="7F0B3DEB" w:rsidR="00126E05">
        <w:rPr>
          <w:rFonts w:ascii="Times New Roman" w:hAnsi="Times New Roman"/>
          <w:lang w:val="es-ES"/>
        </w:rPr>
        <w:t>Universidad Alberto Hurtado</w:t>
      </w:r>
    </w:p>
    <w:p w:rsidR="7F0B3DEB" w:rsidP="7F0B3DEB" w:rsidRDefault="7F0B3DEB" w14:paraId="58ECF220" w14:textId="6B9E654D">
      <w:pPr>
        <w:spacing w:beforeAutospacing="on" w:after="120" w:line="276" w:lineRule="auto"/>
        <w:jc w:val="both"/>
        <w:rPr>
          <w:rFonts w:ascii="Times New Roman" w:hAnsi="Times New Roman"/>
          <w:lang w:val="es-ES" w:eastAsia="zh-CN"/>
        </w:rPr>
      </w:pPr>
    </w:p>
    <w:p w:rsidR="00126E05" w:rsidP="1B80611B" w:rsidRDefault="00126E05" w14:paraId="12041E64" w14:textId="41978167">
      <w:pPr>
        <w:spacing w:beforeAutospacing="on" w:after="120" w:line="276" w:lineRule="auto"/>
        <w:jc w:val="both"/>
        <w:rPr>
          <w:rFonts w:ascii="Times New Roman" w:hAnsi="Times New Roman"/>
          <w:b w:val="1"/>
          <w:bCs w:val="1"/>
          <w:lang w:val="es-ES" w:eastAsia="zh-CN"/>
        </w:rPr>
      </w:pPr>
      <w:r w:rsidRPr="7F0B3DEB" w:rsidR="00126E05">
        <w:rPr>
          <w:rFonts w:ascii="Times New Roman" w:hAnsi="Times New Roman"/>
          <w:lang w:val="es-ES" w:eastAsia="zh-CN"/>
        </w:rPr>
        <w:t>Título:</w:t>
      </w:r>
      <w:r w:rsidRPr="7F0B3DEB" w:rsidR="00126E05">
        <w:rPr>
          <w:rFonts w:ascii="Times New Roman" w:hAnsi="Times New Roman"/>
          <w:b w:val="1"/>
          <w:bCs w:val="1"/>
          <w:lang w:val="es-ES" w:eastAsia="zh-CN"/>
        </w:rPr>
        <w:t xml:space="preserve"> “El problema de la víctima en la narrativa peruana de la memoria”</w:t>
      </w:r>
    </w:p>
    <w:p w:rsidR="7F0B3DEB" w:rsidP="7F0B3DEB" w:rsidRDefault="7F0B3DEB" w14:paraId="212753F3" w14:textId="7E4351FF">
      <w:pPr>
        <w:spacing w:beforeAutospacing="on" w:after="120" w:line="276" w:lineRule="auto"/>
        <w:jc w:val="both"/>
        <w:rPr>
          <w:rFonts w:ascii="Times New Roman" w:hAnsi="Times New Roman"/>
          <w:lang w:val="es-ES" w:eastAsia="zh-CN"/>
        </w:rPr>
      </w:pPr>
    </w:p>
    <w:p w:rsidRPr="00C6619E" w:rsidR="00126E05" w:rsidP="00126E05" w:rsidRDefault="00126E05" w14:paraId="5DB8E664" w14:textId="77777777">
      <w:pPr>
        <w:spacing w:before="100" w:beforeAutospacing="1" w:after="120" w:line="276" w:lineRule="auto"/>
        <w:jc w:val="both"/>
        <w:rPr>
          <w:rFonts w:ascii="Times New Roman" w:hAnsi="Times New Roman"/>
          <w:iCs/>
          <w:szCs w:val="24"/>
          <w:lang w:val="es-ES" w:eastAsia="zh-CN"/>
        </w:rPr>
      </w:pPr>
      <w:r w:rsidRPr="7F0B3DEB" w:rsidR="00126E05">
        <w:rPr>
          <w:rFonts w:ascii="Times New Roman" w:hAnsi="Times New Roman"/>
          <w:lang w:val="es-ES" w:eastAsia="zh-CN"/>
        </w:rPr>
        <w:t xml:space="preserve">Propuesta: </w:t>
      </w:r>
    </w:p>
    <w:p w:rsidR="7F0B3DEB" w:rsidP="7F0B3DEB" w:rsidRDefault="7F0B3DEB" w14:paraId="4019050A" w14:textId="429A6047">
      <w:pPr>
        <w:pStyle w:val="Normal"/>
        <w:spacing w:beforeAutospacing="on" w:after="120" w:line="240" w:lineRule="auto"/>
        <w:jc w:val="both"/>
        <w:rPr>
          <w:rFonts w:ascii="Times New Roman" w:hAnsi="Times New Roman"/>
          <w:lang w:val="es-ES" w:eastAsia="zh-CN"/>
        </w:rPr>
      </w:pPr>
    </w:p>
    <w:p w:rsidRPr="00C6619E" w:rsidR="00126E05" w:rsidP="7F0B3DEB" w:rsidRDefault="00126E05" w14:paraId="196B6751" w14:textId="0B0E3342">
      <w:pPr>
        <w:pStyle w:val="Normal"/>
        <w:spacing w:before="100" w:beforeAutospacing="on" w:after="120" w:line="240" w:lineRule="auto"/>
        <w:jc w:val="both"/>
        <w:rPr>
          <w:rFonts w:ascii="Times New Roman" w:hAnsi="Times New Roman"/>
          <w:b w:val="1"/>
          <w:bCs w:val="1"/>
          <w:lang w:val="es-ES" w:eastAsia="zh-CN"/>
        </w:rPr>
      </w:pPr>
      <w:r w:rsidRPr="7F0B3DEB" w:rsidR="00126E05">
        <w:rPr>
          <w:rFonts w:ascii="Times New Roman" w:hAnsi="Times New Roman"/>
          <w:lang w:val="es-ES" w:eastAsia="zh-CN"/>
        </w:rPr>
        <w:t xml:space="preserve">Esta ponencia se propone problematizar la categoría de víctima dentro de las narrativas peruanas de la memoria y discutir desde dichas narrativas las conceptualizaciones sobre el problema de la victimización formuladas dentro del paradigma a los derechos humanos. Esto se hará a partir de tres criterios de clasificación respecto tanto de la narratología como de la victimología. Primero, desde una aproximación representacional, el criterio de la participación de la víctima en los actos de violencia. Según el punto de vista de los DDHH, este criterio determina una dicotomía excluyente entre la víctima "pura" y pasiva, y un victimario activo que causa el sufrimiento de la víctima. Segundo, también desde una aproximación representacional, el criterio de la vulnerabilidad con la que se construye al sujeto </w:t>
      </w:r>
      <w:proofErr w:type="spellStart"/>
      <w:r w:rsidRPr="7F0B3DEB" w:rsidR="00126E05">
        <w:rPr>
          <w:rFonts w:ascii="Times New Roman" w:hAnsi="Times New Roman"/>
          <w:lang w:val="es-ES" w:eastAsia="zh-CN"/>
        </w:rPr>
        <w:t>victimal</w:t>
      </w:r>
      <w:proofErr w:type="spellEnd"/>
      <w:r w:rsidRPr="7F0B3DEB" w:rsidR="00126E05">
        <w:rPr>
          <w:rFonts w:ascii="Times New Roman" w:hAnsi="Times New Roman"/>
          <w:lang w:val="es-ES" w:eastAsia="zh-CN"/>
        </w:rPr>
        <w:t>, confrontando un tipo de vulnerabilidad radical propia de la «naturaleza humana», según proponen enfoques éticos afines a los DDHH, y condicionamientos históricos y sociales como causales de vulnerabilidad y violencia. Tercero, desde una aproximación a la enun</w:t>
      </w:r>
      <w:bookmarkStart w:name="_GoBack" w:id="0"/>
      <w:bookmarkEnd w:id="0"/>
      <w:r w:rsidRPr="7F0B3DEB" w:rsidR="00126E05">
        <w:rPr>
          <w:rFonts w:ascii="Times New Roman" w:hAnsi="Times New Roman"/>
          <w:lang w:val="es-ES" w:eastAsia="zh-CN"/>
        </w:rPr>
        <w:t>ciación, el criterio de producción discursiva mediante la cual se constituye la víctima según el paradigma de los DDHH, para analizar las formas que toman las narrativas en su búsqueda de lenguajes posibles y eficaces para testimoniar el horror.</w:t>
      </w:r>
    </w:p>
    <w:p w:rsidR="00126E05" w:rsidP="00126E05" w:rsidRDefault="00126E05" w14:paraId="486751DC" w14:textId="77777777">
      <w:pPr>
        <w:jc w:val="both"/>
        <w:rPr>
          <w:rFonts w:ascii="Times New Roman" w:hAnsi="Times New Roman"/>
          <w:szCs w:val="24"/>
          <w:lang w:val="es-ES"/>
        </w:rPr>
      </w:pPr>
      <w:r w:rsidRPr="00C6619E">
        <w:rPr>
          <w:rFonts w:ascii="Times New Roman" w:hAnsi="Times New Roman"/>
          <w:szCs w:val="24"/>
          <w:lang w:val="es-ES"/>
        </w:rPr>
        <w:t>Eje:</w:t>
      </w:r>
    </w:p>
    <w:p w:rsidRPr="00C6619E" w:rsidR="00126E05" w:rsidP="00126E05" w:rsidRDefault="00126E05" w14:paraId="3EBC510B" w14:textId="77777777">
      <w:pPr>
        <w:jc w:val="both"/>
        <w:rPr>
          <w:rFonts w:ascii="Times New Roman" w:hAnsi="Times New Roman"/>
          <w:szCs w:val="24"/>
          <w:lang w:val="es-ES"/>
        </w:rPr>
      </w:pPr>
    </w:p>
    <w:p w:rsidRPr="00C6619E" w:rsidR="00126E05" w:rsidP="00126E05" w:rsidRDefault="00126E05" w14:paraId="597DF0F4" w14:textId="77777777">
      <w:pPr>
        <w:jc w:val="both"/>
        <w:rPr>
          <w:rFonts w:ascii="Times New Roman" w:hAnsi="Times New Roman"/>
          <w:b/>
          <w:szCs w:val="24"/>
          <w:lang w:val="es-ES"/>
        </w:rPr>
      </w:pPr>
      <w:r w:rsidRPr="00C6619E">
        <w:rPr>
          <w:rFonts w:ascii="Times New Roman" w:hAnsi="Times New Roman"/>
          <w:b/>
          <w:szCs w:val="24"/>
          <w:lang w:val="es-ES"/>
        </w:rPr>
        <w:t xml:space="preserve">II) TRAMAS POLÍTICAS </w:t>
      </w:r>
    </w:p>
    <w:p w:rsidRPr="00C6619E" w:rsidR="00126E05" w:rsidP="00126E05" w:rsidRDefault="00126E05" w14:paraId="4F91B84D" w14:textId="77777777">
      <w:pPr>
        <w:jc w:val="both"/>
        <w:rPr>
          <w:rFonts w:ascii="Times New Roman" w:hAnsi="Times New Roman"/>
          <w:szCs w:val="24"/>
          <w:lang w:val="es-ES"/>
        </w:rPr>
      </w:pPr>
      <w:r w:rsidRPr="00C6619E">
        <w:rPr>
          <w:rFonts w:ascii="Times New Roman" w:hAnsi="Times New Roman"/>
          <w:szCs w:val="24"/>
          <w:lang w:val="es-ES"/>
        </w:rPr>
        <w:t>Violencia directa, estructural, cultural</w:t>
      </w:r>
    </w:p>
    <w:p w:rsidRPr="00C6619E" w:rsidR="00126E05" w:rsidP="00126E05" w:rsidRDefault="00126E05" w14:paraId="24583EE3" w14:textId="77777777">
      <w:pPr>
        <w:jc w:val="both"/>
        <w:rPr>
          <w:rFonts w:ascii="Times New Roman" w:hAnsi="Times New Roman"/>
          <w:szCs w:val="24"/>
          <w:lang w:val="es-ES"/>
        </w:rPr>
      </w:pPr>
      <w:r w:rsidRPr="00C6619E">
        <w:rPr>
          <w:rFonts w:ascii="Times New Roman" w:hAnsi="Times New Roman"/>
          <w:szCs w:val="24"/>
          <w:lang w:val="es-ES"/>
        </w:rPr>
        <w:t>Políticas de la memoria</w:t>
      </w:r>
    </w:p>
    <w:p w:rsidR="00126E05" w:rsidP="00126E05" w:rsidRDefault="00126E05" w14:paraId="687146EE" w14:textId="77777777">
      <w:pPr>
        <w:jc w:val="both"/>
        <w:rPr>
          <w:rFonts w:ascii="Times New Roman" w:hAnsi="Times New Roman"/>
          <w:szCs w:val="24"/>
          <w:lang w:val="es-ES"/>
        </w:rPr>
      </w:pPr>
      <w:r w:rsidRPr="00C6619E">
        <w:rPr>
          <w:rFonts w:ascii="Times New Roman" w:hAnsi="Times New Roman"/>
          <w:szCs w:val="24"/>
          <w:lang w:val="es-ES"/>
        </w:rPr>
        <w:t>Políticas del lenguaje literario</w:t>
      </w:r>
    </w:p>
    <w:p w:rsidRPr="00C6619E" w:rsidR="00126E05" w:rsidP="00126E05" w:rsidRDefault="00126E05" w14:paraId="5CBB08B4" w14:textId="77777777">
      <w:pPr>
        <w:jc w:val="both"/>
        <w:rPr>
          <w:rFonts w:ascii="Times New Roman" w:hAnsi="Times New Roman"/>
          <w:szCs w:val="24"/>
          <w:lang w:val="es-ES"/>
        </w:rPr>
      </w:pPr>
    </w:p>
    <w:p w:rsidR="00126E05" w:rsidP="1B80611B" w:rsidRDefault="00126E05" w14:paraId="0E49BEFB" w14:textId="6225208D">
      <w:pPr>
        <w:widowControl w:val="0"/>
        <w:autoSpaceDE w:val="0"/>
        <w:autoSpaceDN w:val="0"/>
        <w:adjustRightInd w:val="0"/>
        <w:ind w:right="-180"/>
        <w:jc w:val="both"/>
        <w:rPr>
          <w:rFonts w:ascii="Times New Roman" w:hAnsi="Times New Roman"/>
          <w:b w:val="1"/>
          <w:bCs w:val="1"/>
          <w:i w:val="1"/>
          <w:iCs w:val="1"/>
          <w:lang w:val="es-ES"/>
        </w:rPr>
      </w:pPr>
      <w:r w:rsidRPr="1B80611B" w:rsidR="00126E05">
        <w:rPr>
          <w:rFonts w:ascii="Times New Roman" w:hAnsi="Times New Roman"/>
          <w:b w:val="1"/>
          <w:bCs w:val="1"/>
          <w:lang w:val="pt-BR"/>
        </w:rPr>
        <w:t xml:space="preserve">MESA REDONDA (RED VYRAL): </w:t>
      </w:r>
      <w:r w:rsidRPr="1B80611B" w:rsidR="00126E05">
        <w:rPr>
          <w:rFonts w:ascii="Times New Roman" w:hAnsi="Times New Roman"/>
          <w:b w:val="1"/>
          <w:bCs w:val="1"/>
          <w:i w:val="1"/>
          <w:iCs w:val="1"/>
          <w:lang w:val="es-ES"/>
        </w:rPr>
        <w:t>Aproximaciones teóricas a la violencia en América Latina: testimonio, victimización, religión y silencio</w:t>
      </w:r>
    </w:p>
    <w:p w:rsidR="00126E05" w:rsidP="00126E05" w:rsidRDefault="00126E05" w14:paraId="3E3051A4" w14:textId="77777777">
      <w:pPr>
        <w:widowControl w:val="0"/>
        <w:autoSpaceDE w:val="0"/>
        <w:autoSpaceDN w:val="0"/>
        <w:adjustRightInd w:val="0"/>
        <w:ind w:right="-180"/>
        <w:jc w:val="both"/>
        <w:rPr>
          <w:rFonts w:ascii="Times New Roman" w:hAnsi="Times New Roman"/>
          <w:szCs w:val="24"/>
          <w:lang w:val="es-ES"/>
        </w:rPr>
      </w:pPr>
    </w:p>
    <w:p w:rsidRPr="00126E05" w:rsidR="00126E05" w:rsidRDefault="00126E05" w14:paraId="5EB8CBBB" w14:textId="77777777">
      <w:pPr>
        <w:rPr>
          <w:lang w:val="es-ES"/>
        </w:rPr>
      </w:pPr>
    </w:p>
    <w:sectPr w:rsidRPr="00126E05" w:rsidR="00126E0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New York">
    <w:altName w:val="Tahoma"/>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E05"/>
    <w:rsid w:val="00126E05"/>
    <w:rsid w:val="1B80611B"/>
    <w:rsid w:val="7F0B3D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1FF14"/>
  <w15:chartTrackingRefBased/>
  <w15:docId w15:val="{5B5B7C12-05EB-4A70-8D43-09F78909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26E05"/>
    <w:pPr>
      <w:spacing w:after="0" w:line="240" w:lineRule="auto"/>
    </w:pPr>
    <w:rPr>
      <w:rFonts w:ascii="New York" w:hAnsi="New York" w:eastAsia="Times New Roman" w:cs="Times New Roman"/>
      <w:sz w:val="24"/>
      <w:szCs w:val="20"/>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9EF64A-087E-4F57-A3F4-963886D3D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DFF6FC-0EA0-4531-9332-8E7C262B82B3}">
  <ds:schemaRefs>
    <ds:schemaRef ds:uri="http://schemas.microsoft.com/sharepoint/v3/contenttype/forms"/>
  </ds:schemaRefs>
</ds:datastoreItem>
</file>

<file path=customXml/itemProps3.xml><?xml version="1.0" encoding="utf-8"?>
<ds:datastoreItem xmlns:ds="http://schemas.openxmlformats.org/officeDocument/2006/customXml" ds:itemID="{9A493AC9-D697-40BD-9976-CF1D52BB0C5D}">
  <ds:schemaRef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2021-05-26T21:00:00.0000000Z</dcterms:created>
  <dcterms:modified xsi:type="dcterms:W3CDTF">2021-06-03T17:14:21.3337512Z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